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1E" w:rsidRDefault="00C5641E" w:rsidP="00C5641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-478790</wp:posOffset>
            </wp:positionV>
            <wp:extent cx="2600325" cy="1514475"/>
            <wp:effectExtent l="0" t="0" r="9525" b="9525"/>
            <wp:wrapNone/>
            <wp:docPr id="1" name="Picture 1" descr="Description: electoral-com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lectoral-com_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41E" w:rsidRDefault="00C5641E" w:rsidP="00C5641E"/>
    <w:p w:rsidR="00C5641E" w:rsidRDefault="00C5641E" w:rsidP="00C5641E"/>
    <w:p w:rsidR="00C5641E" w:rsidRDefault="00C5641E" w:rsidP="00C5641E"/>
    <w:p w:rsidR="00C5641E" w:rsidRDefault="00C5641E" w:rsidP="00C5641E"/>
    <w:p w:rsidR="00C5641E" w:rsidRDefault="00C5641E" w:rsidP="00C5641E">
      <w:pPr>
        <w:pStyle w:val="ECA-head"/>
      </w:pPr>
    </w:p>
    <w:p w:rsidR="00C5641E" w:rsidRDefault="00C5641E" w:rsidP="00C5641E">
      <w:pPr>
        <w:pStyle w:val="ECA-head"/>
      </w:pPr>
      <w:r>
        <w:t xml:space="preserve">Timetable for </w:t>
      </w:r>
      <w:r>
        <w:t>a</w:t>
      </w:r>
      <w:r>
        <w:t xml:space="preserve"> Scottish Parliamentary election</w:t>
      </w:r>
    </w:p>
    <w:p w:rsidR="00C5641E" w:rsidRDefault="00C5641E" w:rsidP="00C5641E">
      <w:pPr>
        <w:pStyle w:val="ECparanonumber"/>
        <w:tabs>
          <w:tab w:val="left" w:pos="2835"/>
        </w:tabs>
      </w:pPr>
      <w:r>
        <w:t>T</w:t>
      </w:r>
      <w:r w:rsidRPr="00DB021D">
        <w:t>he days which are di</w:t>
      </w:r>
      <w:r>
        <w:t>sregarded in calculating the timetable are Saturday, Sunday</w:t>
      </w:r>
      <w:r w:rsidRPr="00DB021D">
        <w:t>, bank holidays and any day appointed for public thanksgiving or mou</w:t>
      </w:r>
      <w:r>
        <w:t xml:space="preserve">rning. </w:t>
      </w:r>
    </w:p>
    <w:p w:rsidR="00C5641E" w:rsidRDefault="00C5641E" w:rsidP="00C5641E">
      <w:pPr>
        <w:pStyle w:val="ECparanonumber"/>
      </w:pPr>
      <w:r>
        <w:t>Please be aware that the timetable may change in the event of days being appointed for public thanksgiving or mourning.</w:t>
      </w:r>
    </w:p>
    <w:p w:rsidR="00C5641E" w:rsidRDefault="00C5641E" w:rsidP="00C5641E">
      <w:pPr>
        <w:spacing w:after="240"/>
      </w:pPr>
      <w:r>
        <w:t>This timetable has been developed based on the legislation as it currently stands and so it may be subject to change. We will update and re-publish the timetable as appropriate if further legislation is made.</w:t>
      </w:r>
    </w:p>
    <w:p w:rsidR="00C5641E" w:rsidRPr="00936B85" w:rsidRDefault="00C5641E" w:rsidP="00C5641E"/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3906"/>
      </w:tblGrid>
      <w:tr w:rsidR="00C5641E" w:rsidRPr="00B77A37" w:rsidTr="00C5641E">
        <w:trPr>
          <w:cantSplit/>
          <w:trHeight w:val="734"/>
          <w:tblHeader/>
        </w:trPr>
        <w:tc>
          <w:tcPr>
            <w:tcW w:w="2646" w:type="pct"/>
          </w:tcPr>
          <w:p w:rsidR="00C5641E" w:rsidRPr="00B77A37" w:rsidRDefault="00C5641E" w:rsidP="002757F6">
            <w:pPr>
              <w:pStyle w:val="ECtablecolumnheading"/>
            </w:pPr>
            <w:r w:rsidRPr="00B77A37">
              <w:t>Event</w:t>
            </w:r>
          </w:p>
        </w:tc>
        <w:tc>
          <w:tcPr>
            <w:tcW w:w="2354" w:type="pct"/>
          </w:tcPr>
          <w:p w:rsidR="00C5641E" w:rsidRPr="00B77A37" w:rsidRDefault="00C5641E" w:rsidP="002757F6">
            <w:pPr>
              <w:pStyle w:val="ECtablecolumnheading"/>
            </w:pPr>
            <w:r w:rsidRPr="00B77A37">
              <w:t>Working days before poll (deadline if not midnight)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 w:rsidRPr="00677117">
              <w:t>Publication of notice of election</w:t>
            </w:r>
          </w:p>
        </w:tc>
        <w:tc>
          <w:tcPr>
            <w:tcW w:w="2354" w:type="pct"/>
          </w:tcPr>
          <w:p w:rsidR="00C5641E" w:rsidRDefault="00C5641E" w:rsidP="002757F6">
            <w:r>
              <w:t>Not later than 28 days and not earlier than 35 days</w:t>
            </w:r>
          </w:p>
          <w:p w:rsidR="00C5641E" w:rsidRDefault="00C5641E" w:rsidP="002757F6"/>
        </w:tc>
      </w:tr>
      <w:tr w:rsidR="00C5641E" w:rsidTr="00C5641E">
        <w:trPr>
          <w:cantSplit/>
          <w:trHeight w:val="1469"/>
        </w:trPr>
        <w:tc>
          <w:tcPr>
            <w:tcW w:w="2646" w:type="pct"/>
          </w:tcPr>
          <w:p w:rsidR="00C5641E" w:rsidRPr="00904375" w:rsidRDefault="00C5641E" w:rsidP="002757F6">
            <w:r w:rsidRPr="00904375">
              <w:t>Delivery of nomination papers</w:t>
            </w:r>
          </w:p>
        </w:tc>
        <w:tc>
          <w:tcPr>
            <w:tcW w:w="2354" w:type="pct"/>
          </w:tcPr>
          <w:p w:rsidR="00C5641E" w:rsidRPr="00904375" w:rsidRDefault="00C5641E" w:rsidP="002757F6">
            <w:r w:rsidRPr="00904375">
              <w:t>From the da</w:t>
            </w:r>
            <w:r>
              <w:t xml:space="preserve">y after </w:t>
            </w:r>
            <w:r w:rsidRPr="00904375">
              <w:t xml:space="preserve">the </w:t>
            </w:r>
            <w:r>
              <w:t xml:space="preserve">publication of the </w:t>
            </w:r>
            <w:r w:rsidRPr="00904375">
              <w:t>notice of election</w:t>
            </w:r>
            <w:r>
              <w:t xml:space="preserve"> until the 23rd day (4pm)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 w:rsidRPr="006E7016">
              <w:t>Deadline for delivery of nomination papers</w:t>
            </w:r>
          </w:p>
        </w:tc>
        <w:tc>
          <w:tcPr>
            <w:tcW w:w="2354" w:type="pct"/>
          </w:tcPr>
          <w:p w:rsidR="00C5641E" w:rsidRDefault="00C5641E" w:rsidP="002757F6">
            <w:r>
              <w:t>23 days (4pm)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>
              <w:t>Deadline for withdrawals of nomination</w:t>
            </w:r>
          </w:p>
        </w:tc>
        <w:tc>
          <w:tcPr>
            <w:tcW w:w="2354" w:type="pct"/>
          </w:tcPr>
          <w:p w:rsidR="00C5641E" w:rsidRDefault="00C5641E" w:rsidP="002757F6">
            <w:r>
              <w:t>23 days (4pm)</w:t>
            </w:r>
            <w:bookmarkStart w:id="0" w:name="_GoBack"/>
            <w:bookmarkEnd w:id="0"/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>
              <w:lastRenderedPageBreak/>
              <w:t>Making objections to nomination papers</w:t>
            </w:r>
          </w:p>
          <w:p w:rsidR="00C5641E" w:rsidRDefault="00C5641E" w:rsidP="002757F6"/>
          <w:p w:rsidR="00C5641E" w:rsidRDefault="00C5641E" w:rsidP="002757F6"/>
        </w:tc>
        <w:tc>
          <w:tcPr>
            <w:tcW w:w="2354" w:type="pct"/>
          </w:tcPr>
          <w:p w:rsidR="00C5641E" w:rsidRDefault="00C5641E" w:rsidP="002757F6">
            <w:r>
              <w:t xml:space="preserve">During the hours allowed for delivery of nomination papers </w:t>
            </w:r>
            <w:r w:rsidRPr="00227529">
              <w:t>on the last day for their delivery and the hour</w:t>
            </w:r>
            <w:r>
              <w:t xml:space="preserve"> following.</w:t>
            </w:r>
          </w:p>
          <w:p w:rsidR="00C5641E" w:rsidRDefault="00C5641E" w:rsidP="002757F6"/>
          <w:p w:rsidR="00C5641E" w:rsidRDefault="00C5641E" w:rsidP="002757F6">
            <w:r>
              <w:t>No objection may be made in the afternoon of the last day except to a nomination paper delivered within 24 hours of the last time for its delivery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Pr="004D271F" w:rsidRDefault="00C5641E" w:rsidP="002757F6">
            <w:r w:rsidRPr="004D271F">
              <w:t>Deadline for the notification of appointment of election agent</w:t>
            </w:r>
          </w:p>
        </w:tc>
        <w:tc>
          <w:tcPr>
            <w:tcW w:w="2354" w:type="pct"/>
          </w:tcPr>
          <w:p w:rsidR="00C5641E" w:rsidRPr="004D271F" w:rsidRDefault="00C5641E" w:rsidP="002757F6">
            <w:r>
              <w:t>23</w:t>
            </w:r>
            <w:r w:rsidRPr="004D271F">
              <w:t xml:space="preserve"> days (4pm)</w:t>
            </w:r>
            <w:r w:rsidDel="004C1BEE">
              <w:rPr>
                <w:rStyle w:val="FootnoteReference"/>
              </w:rPr>
              <w:t xml:space="preserve"> 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>
              <w:t>Publication of statement of persons nominated, including notice of poll and situation of polling stations</w:t>
            </w:r>
          </w:p>
        </w:tc>
        <w:tc>
          <w:tcPr>
            <w:tcW w:w="2354" w:type="pct"/>
          </w:tcPr>
          <w:p w:rsidR="00C5641E" w:rsidRDefault="00C5641E" w:rsidP="002757F6">
            <w:r>
              <w:t>If no objections: on 23 days (at 5pm)</w:t>
            </w:r>
          </w:p>
          <w:p w:rsidR="00C5641E" w:rsidRDefault="00C5641E" w:rsidP="002757F6"/>
          <w:p w:rsidR="00C5641E" w:rsidRDefault="00C5641E" w:rsidP="002757F6">
            <w:r>
              <w:t>If objection(s) are made: Not before objection(s) are disposed of but not later than 24 hours after the last time for delivery of nomination papers</w:t>
            </w:r>
          </w:p>
          <w:p w:rsidR="00C5641E" w:rsidRDefault="00C5641E" w:rsidP="002757F6"/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Pr="00D53122" w:rsidRDefault="00C5641E" w:rsidP="002757F6">
            <w:r w:rsidRPr="00D53122">
              <w:t>Publication of first interim election notice of alteration</w:t>
            </w:r>
          </w:p>
        </w:tc>
        <w:tc>
          <w:tcPr>
            <w:tcW w:w="2354" w:type="pct"/>
          </w:tcPr>
          <w:p w:rsidR="00C5641E" w:rsidRPr="00D53122" w:rsidRDefault="00C5641E" w:rsidP="002757F6">
            <w:r w:rsidRPr="00D53122">
              <w:t>23 days</w:t>
            </w:r>
            <w:r>
              <w:rPr>
                <w:rStyle w:val="EndnoteReference"/>
              </w:rPr>
              <w:endnoteReference w:id="1"/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>
              <w:t xml:space="preserve">Deadline for receiving applications for registration </w:t>
            </w:r>
          </w:p>
        </w:tc>
        <w:tc>
          <w:tcPr>
            <w:tcW w:w="2354" w:type="pct"/>
          </w:tcPr>
          <w:p w:rsidR="00C5641E" w:rsidRDefault="00C5641E" w:rsidP="002757F6">
            <w:r>
              <w:t>12 days</w:t>
            </w:r>
          </w:p>
        </w:tc>
      </w:tr>
      <w:tr w:rsidR="00C5641E" w:rsidTr="00C5641E">
        <w:trPr>
          <w:cantSplit/>
          <w:trHeight w:val="989"/>
        </w:trPr>
        <w:tc>
          <w:tcPr>
            <w:tcW w:w="2646" w:type="pct"/>
          </w:tcPr>
          <w:p w:rsidR="00C5641E" w:rsidRDefault="00C5641E" w:rsidP="002757F6">
            <w:r>
              <w:t>Deadline for receiving new postal vote and postal proxy applications, and for changes to existing postal or proxy votes</w:t>
            </w:r>
          </w:p>
        </w:tc>
        <w:tc>
          <w:tcPr>
            <w:tcW w:w="2354" w:type="pct"/>
          </w:tcPr>
          <w:p w:rsidR="00C5641E" w:rsidRDefault="00C5641E" w:rsidP="002757F6">
            <w:r>
              <w:t>11 days (5pm)</w:t>
            </w:r>
          </w:p>
        </w:tc>
      </w:tr>
      <w:tr w:rsidR="00C5641E" w:rsidTr="00C5641E">
        <w:trPr>
          <w:cantSplit/>
          <w:trHeight w:val="1229"/>
        </w:trPr>
        <w:tc>
          <w:tcPr>
            <w:tcW w:w="2646" w:type="pct"/>
          </w:tcPr>
          <w:p w:rsidR="00C5641E" w:rsidRDefault="00C5641E" w:rsidP="002757F6">
            <w:r>
              <w:t>Deadline for receiving new applications to vote by proxy (not postal proxy or emergency proxies)</w:t>
            </w:r>
          </w:p>
        </w:tc>
        <w:tc>
          <w:tcPr>
            <w:tcW w:w="2354" w:type="pct"/>
          </w:tcPr>
          <w:p w:rsidR="00C5641E" w:rsidRDefault="00C5641E" w:rsidP="002757F6">
            <w:r>
              <w:t>6 days (5pm)</w:t>
            </w:r>
            <w:r w:rsidRPr="000B4D0D">
              <w:rPr>
                <w:rStyle w:val="FootnoteReference"/>
              </w:rPr>
              <w:t xml:space="preserve"> </w:t>
            </w:r>
          </w:p>
        </w:tc>
      </w:tr>
      <w:tr w:rsidR="00C5641E" w:rsidTr="00C5641E">
        <w:trPr>
          <w:cantSplit/>
          <w:trHeight w:val="734"/>
        </w:trPr>
        <w:tc>
          <w:tcPr>
            <w:tcW w:w="2646" w:type="pct"/>
          </w:tcPr>
          <w:p w:rsidR="00C5641E" w:rsidRPr="00D53122" w:rsidRDefault="00C5641E" w:rsidP="002757F6">
            <w:r w:rsidRPr="00D53122">
              <w:t>Publication of second interim election notice of alteration</w:t>
            </w:r>
          </w:p>
        </w:tc>
        <w:tc>
          <w:tcPr>
            <w:tcW w:w="2354" w:type="pct"/>
          </w:tcPr>
          <w:p w:rsidR="00C5641E" w:rsidRPr="00D53122" w:rsidRDefault="00C5641E" w:rsidP="002757F6">
            <w:r w:rsidRPr="00D53122">
              <w:t>Between 22 days and 6 days</w:t>
            </w:r>
          </w:p>
        </w:tc>
      </w:tr>
      <w:tr w:rsidR="00C5641E" w:rsidTr="00C5641E">
        <w:trPr>
          <w:cantSplit/>
          <w:trHeight w:val="734"/>
        </w:trPr>
        <w:tc>
          <w:tcPr>
            <w:tcW w:w="2646" w:type="pct"/>
          </w:tcPr>
          <w:p w:rsidR="00C5641E" w:rsidRPr="003B0240" w:rsidRDefault="00C5641E" w:rsidP="002757F6">
            <w:r w:rsidRPr="003B0240">
              <w:t>Publication of final election notice of alteration</w:t>
            </w:r>
          </w:p>
        </w:tc>
        <w:tc>
          <w:tcPr>
            <w:tcW w:w="2354" w:type="pct"/>
          </w:tcPr>
          <w:p w:rsidR="00C5641E" w:rsidRPr="003B0240" w:rsidRDefault="00C5641E" w:rsidP="002757F6">
            <w:r w:rsidRPr="003B0240">
              <w:t>5 days</w:t>
            </w:r>
          </w:p>
        </w:tc>
      </w:tr>
      <w:tr w:rsidR="00C5641E" w:rsidTr="00C5641E">
        <w:trPr>
          <w:cantSplit/>
          <w:trHeight w:val="989"/>
        </w:trPr>
        <w:tc>
          <w:tcPr>
            <w:tcW w:w="2646" w:type="pct"/>
          </w:tcPr>
          <w:p w:rsidR="00C5641E" w:rsidRDefault="00C5641E" w:rsidP="002757F6">
            <w:r>
              <w:t>Deadline for notification of appointment of polling and counting agents</w:t>
            </w:r>
          </w:p>
        </w:tc>
        <w:tc>
          <w:tcPr>
            <w:tcW w:w="2354" w:type="pct"/>
          </w:tcPr>
          <w:p w:rsidR="00C5641E" w:rsidRDefault="00C5641E" w:rsidP="002757F6">
            <w:r>
              <w:t>5 days</w:t>
            </w:r>
          </w:p>
        </w:tc>
      </w:tr>
      <w:tr w:rsidR="00C5641E" w:rsidTr="00C5641E">
        <w:trPr>
          <w:cantSplit/>
          <w:trHeight w:val="734"/>
        </w:trPr>
        <w:tc>
          <w:tcPr>
            <w:tcW w:w="2646" w:type="pct"/>
          </w:tcPr>
          <w:p w:rsidR="00C5641E" w:rsidRPr="00C60697" w:rsidRDefault="00C5641E" w:rsidP="002757F6">
            <w:r>
              <w:lastRenderedPageBreak/>
              <w:t>Deadline for notification of appointment of sub-agents</w:t>
            </w:r>
          </w:p>
        </w:tc>
        <w:tc>
          <w:tcPr>
            <w:tcW w:w="2354" w:type="pct"/>
          </w:tcPr>
          <w:p w:rsidR="00C5641E" w:rsidRPr="00C60697" w:rsidRDefault="00C5641E" w:rsidP="002757F6">
            <w:r>
              <w:t>2 days</w:t>
            </w:r>
          </w:p>
        </w:tc>
      </w:tr>
      <w:tr w:rsidR="00C5641E" w:rsidTr="00C5641E">
        <w:trPr>
          <w:cantSplit/>
          <w:trHeight w:val="734"/>
        </w:trPr>
        <w:tc>
          <w:tcPr>
            <w:tcW w:w="2646" w:type="pct"/>
          </w:tcPr>
          <w:p w:rsidR="00C5641E" w:rsidRPr="009B0BAB" w:rsidRDefault="00C5641E" w:rsidP="002757F6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:rsidR="00C5641E" w:rsidRPr="009B0BAB" w:rsidRDefault="00C5641E" w:rsidP="002757F6">
            <w:pPr>
              <w:rPr>
                <w:b/>
              </w:rPr>
            </w:pPr>
          </w:p>
        </w:tc>
        <w:tc>
          <w:tcPr>
            <w:tcW w:w="2354" w:type="pct"/>
          </w:tcPr>
          <w:p w:rsidR="00C5641E" w:rsidRPr="009B0BAB" w:rsidRDefault="00C5641E" w:rsidP="002757F6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</w:tr>
      <w:tr w:rsidR="00C5641E" w:rsidTr="00C5641E">
        <w:trPr>
          <w:cantSplit/>
          <w:trHeight w:val="480"/>
        </w:trPr>
        <w:tc>
          <w:tcPr>
            <w:tcW w:w="2646" w:type="pct"/>
          </w:tcPr>
          <w:p w:rsidR="00C5641E" w:rsidRDefault="00C5641E" w:rsidP="002757F6">
            <w:r>
              <w:t>Last time for re-issue of spoilt postal votes</w:t>
            </w:r>
          </w:p>
        </w:tc>
        <w:tc>
          <w:tcPr>
            <w:tcW w:w="2354" w:type="pct"/>
          </w:tcPr>
          <w:p w:rsidR="00C5641E" w:rsidRDefault="00C5641E" w:rsidP="002757F6">
            <w:r>
              <w:t>0 (10pm)</w:t>
            </w:r>
          </w:p>
        </w:tc>
      </w:tr>
      <w:tr w:rsidR="00C5641E" w:rsidTr="00C5641E">
        <w:trPr>
          <w:cantSplit/>
          <w:trHeight w:val="495"/>
        </w:trPr>
        <w:tc>
          <w:tcPr>
            <w:tcW w:w="2646" w:type="pct"/>
          </w:tcPr>
          <w:p w:rsidR="00C5641E" w:rsidRDefault="00C5641E" w:rsidP="002757F6">
            <w:r>
              <w:t>Deadline for emergency proxy applications</w:t>
            </w:r>
          </w:p>
        </w:tc>
        <w:tc>
          <w:tcPr>
            <w:tcW w:w="2354" w:type="pct"/>
          </w:tcPr>
          <w:p w:rsidR="00C5641E" w:rsidRDefault="00C5641E" w:rsidP="002757F6">
            <w:r>
              <w:t>0 (5pm)</w:t>
            </w:r>
          </w:p>
        </w:tc>
      </w:tr>
      <w:tr w:rsidR="00C5641E" w:rsidTr="00C5641E">
        <w:trPr>
          <w:cantSplit/>
          <w:trHeight w:val="734"/>
        </w:trPr>
        <w:tc>
          <w:tcPr>
            <w:tcW w:w="2646" w:type="pct"/>
          </w:tcPr>
          <w:p w:rsidR="00C5641E" w:rsidRDefault="00C5641E" w:rsidP="002757F6">
            <w:r>
              <w:t>Last time to alter the register due to clerical error or court appeal</w:t>
            </w:r>
          </w:p>
        </w:tc>
        <w:tc>
          <w:tcPr>
            <w:tcW w:w="2354" w:type="pct"/>
          </w:tcPr>
          <w:p w:rsidR="00C5641E" w:rsidRDefault="00C5641E" w:rsidP="002757F6">
            <w:r>
              <w:t>0 (9pm)</w:t>
            </w:r>
          </w:p>
        </w:tc>
      </w:tr>
    </w:tbl>
    <w:p w:rsidR="00C5641E" w:rsidRDefault="00C5641E" w:rsidP="00C5641E">
      <w:pPr>
        <w:rPr>
          <w:sz w:val="20"/>
        </w:rPr>
      </w:pPr>
    </w:p>
    <w:p w:rsidR="00DC2442" w:rsidRDefault="00DC2442"/>
    <w:sectPr w:rsidR="00DC2442" w:rsidSect="00AB0CE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1E" w:rsidRDefault="00C5641E" w:rsidP="00C5641E">
      <w:r>
        <w:separator/>
      </w:r>
    </w:p>
  </w:endnote>
  <w:endnote w:type="continuationSeparator" w:id="0">
    <w:p w:rsidR="00C5641E" w:rsidRDefault="00C5641E" w:rsidP="00C5641E">
      <w:r>
        <w:continuationSeparator/>
      </w:r>
    </w:p>
  </w:endnote>
  <w:endnote w:id="1">
    <w:p w:rsidR="00C5641E" w:rsidRDefault="00C5641E" w:rsidP="00C5641E">
      <w:pPr>
        <w:pStyle w:val="EndnoteText"/>
      </w:pPr>
      <w:r>
        <w:rPr>
          <w:rStyle w:val="EndnoteReference"/>
        </w:rPr>
        <w:endnoteRef/>
      </w:r>
      <w:r>
        <w:t xml:space="preserve"> Calculated in accordance with RPR 2001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D7" w:rsidRDefault="00C5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1E" w:rsidRDefault="00C5641E" w:rsidP="00C5641E">
      <w:r>
        <w:separator/>
      </w:r>
    </w:p>
  </w:footnote>
  <w:footnote w:type="continuationSeparator" w:id="0">
    <w:p w:rsidR="00C5641E" w:rsidRDefault="00C5641E" w:rsidP="00C5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1E"/>
    <w:rsid w:val="00C5641E"/>
    <w:rsid w:val="00D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D0C0E"/>
  <w15:chartTrackingRefBased/>
  <w15:docId w15:val="{A8C75969-8EC6-4A23-9B00-0E2FB83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1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paranonumber">
    <w:name w:val="*EC _para_no_number"/>
    <w:basedOn w:val="Normal"/>
    <w:rsid w:val="00C5641E"/>
    <w:pPr>
      <w:spacing w:after="240"/>
    </w:pPr>
    <w:rPr>
      <w:rFonts w:cs="Times New Roman"/>
    </w:rPr>
  </w:style>
  <w:style w:type="paragraph" w:customStyle="1" w:styleId="ECA-head">
    <w:name w:val="*EC_A-head"/>
    <w:basedOn w:val="Normal"/>
    <w:link w:val="ECA-headCharChar"/>
    <w:rsid w:val="00C5641E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C5641E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C5641E"/>
    <w:rPr>
      <w:rFonts w:cs="Times New Roman"/>
      <w:b/>
      <w:color w:val="003366"/>
    </w:rPr>
  </w:style>
  <w:style w:type="character" w:styleId="FootnoteReference">
    <w:name w:val="footnote reference"/>
    <w:uiPriority w:val="99"/>
    <w:semiHidden/>
    <w:unhideWhenUsed/>
    <w:rsid w:val="00C5641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56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41E"/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64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641E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C56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2094</Characters>
  <Application>Microsoft Office Word</Application>
  <DocSecurity>0</DocSecurity>
  <Lines>116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Malmgren</dc:creator>
  <cp:keywords/>
  <dc:description/>
  <cp:lastModifiedBy>Susanne Malmgren</cp:lastModifiedBy>
  <cp:revision>1</cp:revision>
  <dcterms:created xsi:type="dcterms:W3CDTF">2020-12-22T09:38:00Z</dcterms:created>
  <dcterms:modified xsi:type="dcterms:W3CDTF">2020-12-22T09:41:00Z</dcterms:modified>
</cp:coreProperties>
</file>