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BAF2F" w14:textId="0F6B9ACC" w:rsidR="00E91573" w:rsidRDefault="009F0D32" w:rsidP="00E91573">
      <w:pPr>
        <w:jc w:val="right"/>
        <w:rPr>
          <w:b/>
          <w:sz w:val="32"/>
          <w:szCs w:val="32"/>
        </w:rPr>
      </w:pPr>
      <w:r>
        <w:rPr>
          <w:b/>
          <w:sz w:val="32"/>
          <w:szCs w:val="32"/>
        </w:rPr>
        <w:t>APPENDIX 1A</w:t>
      </w:r>
    </w:p>
    <w:p w14:paraId="4731EC5C" w14:textId="77777777" w:rsidR="005F05A7" w:rsidRDefault="009F0D32" w:rsidP="00DE7498">
      <w:pPr>
        <w:rPr>
          <w:b/>
          <w:sz w:val="32"/>
          <w:szCs w:val="32"/>
        </w:rPr>
      </w:pPr>
      <w:r>
        <w:rPr>
          <w:b/>
          <w:sz w:val="32"/>
          <w:szCs w:val="32"/>
        </w:rPr>
        <w:t>Note to Commissioners</w:t>
      </w:r>
      <w:r>
        <w:rPr>
          <w:b/>
          <w:sz w:val="32"/>
          <w:szCs w:val="32"/>
        </w:rPr>
        <w:tab/>
      </w:r>
      <w:r>
        <w:rPr>
          <w:b/>
          <w:sz w:val="32"/>
          <w:szCs w:val="32"/>
        </w:rPr>
        <w:tab/>
      </w:r>
    </w:p>
    <w:p w14:paraId="614572BE" w14:textId="51D092BA" w:rsidR="00DE7498" w:rsidRPr="005F05A7" w:rsidRDefault="009F0D32" w:rsidP="00DE7498">
      <w:pPr>
        <w:rPr>
          <w:b/>
          <w:sz w:val="32"/>
          <w:szCs w:val="32"/>
        </w:rPr>
      </w:pPr>
      <w:r>
        <w:rPr>
          <w:b/>
          <w:sz w:val="28"/>
          <w:szCs w:val="28"/>
        </w:rPr>
        <w:t>T</w:t>
      </w:r>
      <w:r w:rsidRPr="005F05A7">
        <w:rPr>
          <w:b/>
          <w:sz w:val="28"/>
          <w:szCs w:val="28"/>
        </w:rPr>
        <w:t xml:space="preserve">hird party regulatory framework </w:t>
      </w:r>
      <w:r w:rsidR="005F05A7">
        <w:rPr>
          <w:b/>
          <w:sz w:val="28"/>
          <w:szCs w:val="28"/>
        </w:rPr>
        <w:t xml:space="preserve">- </w:t>
      </w:r>
      <w:r w:rsidRPr="005F05A7">
        <w:rPr>
          <w:b/>
          <w:sz w:val="28"/>
          <w:szCs w:val="28"/>
        </w:rPr>
        <w:t xml:space="preserve">Governance implications for Commissioners </w:t>
      </w:r>
    </w:p>
    <w:p w14:paraId="404FBD63" w14:textId="77777777" w:rsidR="00FF36FE" w:rsidRDefault="009F0D32" w:rsidP="00DE7498">
      <w:pPr>
        <w:rPr>
          <w:b/>
          <w:sz w:val="24"/>
          <w:szCs w:val="24"/>
        </w:rPr>
      </w:pPr>
      <w:r w:rsidRPr="00C9625D">
        <w:rPr>
          <w:b/>
          <w:sz w:val="24"/>
          <w:szCs w:val="24"/>
        </w:rPr>
        <w:t>Risk of ceasing to hold Office as a Commissioner</w:t>
      </w:r>
      <w:r>
        <w:rPr>
          <w:b/>
          <w:sz w:val="24"/>
          <w:szCs w:val="24"/>
        </w:rPr>
        <w:t>, and Declaring an interest and conflict</w:t>
      </w:r>
    </w:p>
    <w:p w14:paraId="4E215B0D" w14:textId="77777777" w:rsidR="00DE7498" w:rsidRPr="00BE1EA4" w:rsidRDefault="009F0D32" w:rsidP="00DE7498">
      <w:pPr>
        <w:rPr>
          <w:b/>
          <w:sz w:val="24"/>
          <w:szCs w:val="24"/>
        </w:rPr>
      </w:pPr>
      <w:r>
        <w:rPr>
          <w:b/>
          <w:sz w:val="24"/>
          <w:szCs w:val="24"/>
        </w:rPr>
        <w:t>Risk of c</w:t>
      </w:r>
      <w:r w:rsidRPr="00BE1EA4">
        <w:rPr>
          <w:b/>
          <w:sz w:val="24"/>
          <w:szCs w:val="24"/>
        </w:rPr>
        <w:t xml:space="preserve">easing to hold Office as a </w:t>
      </w:r>
      <w:r w:rsidRPr="00BE1EA4">
        <w:rPr>
          <w:b/>
          <w:sz w:val="24"/>
          <w:szCs w:val="24"/>
        </w:rPr>
        <w:t>Commissioner</w:t>
      </w:r>
    </w:p>
    <w:p w14:paraId="70AEE4A0" w14:textId="443D9BBD" w:rsidR="00DE7498" w:rsidRPr="00DE7498" w:rsidRDefault="009F0D32" w:rsidP="00C9625D">
      <w:pPr>
        <w:pStyle w:val="ListParagraph"/>
        <w:numPr>
          <w:ilvl w:val="0"/>
          <w:numId w:val="3"/>
        </w:numPr>
        <w:ind w:left="28" w:firstLine="0"/>
        <w:rPr>
          <w:sz w:val="24"/>
          <w:szCs w:val="24"/>
        </w:rPr>
      </w:pPr>
      <w:r>
        <w:rPr>
          <w:sz w:val="24"/>
          <w:szCs w:val="24"/>
        </w:rPr>
        <w:t>Under the third party regulatory framework introduced by the</w:t>
      </w:r>
      <w:r w:rsidRPr="00DE7498">
        <w:rPr>
          <w:sz w:val="24"/>
          <w:szCs w:val="24"/>
        </w:rPr>
        <w:t xml:space="preserve"> Transparency of Lobbying, Non-party Campaigning and Trade Union Administration Act 2014</w:t>
      </w:r>
      <w:r w:rsidR="003B1E15">
        <w:rPr>
          <w:sz w:val="24"/>
          <w:szCs w:val="24"/>
        </w:rPr>
        <w:t xml:space="preserve"> (Transparency Act)</w:t>
      </w:r>
      <w:r>
        <w:rPr>
          <w:sz w:val="24"/>
          <w:szCs w:val="24"/>
        </w:rPr>
        <w:t>:</w:t>
      </w:r>
      <w:r w:rsidRPr="00DE7498">
        <w:rPr>
          <w:b/>
          <w:sz w:val="24"/>
          <w:szCs w:val="24"/>
        </w:rPr>
        <w:t xml:space="preserve"> </w:t>
      </w:r>
    </w:p>
    <w:p w14:paraId="0085C557" w14:textId="77777777" w:rsidR="00DE7498" w:rsidRDefault="009F0D32" w:rsidP="00C9625D">
      <w:pPr>
        <w:pStyle w:val="ListParagraph"/>
        <w:numPr>
          <w:ilvl w:val="0"/>
          <w:numId w:val="1"/>
        </w:numPr>
        <w:ind w:left="840" w:hanging="294"/>
        <w:rPr>
          <w:sz w:val="24"/>
          <w:szCs w:val="24"/>
        </w:rPr>
      </w:pPr>
      <w:r>
        <w:rPr>
          <w:sz w:val="24"/>
          <w:szCs w:val="24"/>
        </w:rPr>
        <w:t>W</w:t>
      </w:r>
      <w:r w:rsidRPr="00DE72A3">
        <w:rPr>
          <w:sz w:val="24"/>
          <w:szCs w:val="24"/>
        </w:rPr>
        <w:t xml:space="preserve">hen a third party organisation </w:t>
      </w:r>
      <w:r>
        <w:rPr>
          <w:sz w:val="24"/>
          <w:szCs w:val="24"/>
        </w:rPr>
        <w:t xml:space="preserve">that is </w:t>
      </w:r>
      <w:r w:rsidRPr="00DE72A3">
        <w:rPr>
          <w:sz w:val="24"/>
          <w:szCs w:val="24"/>
        </w:rPr>
        <w:t xml:space="preserve">obliged to register with the Commission provides its financial return to the Commission, that return </w:t>
      </w:r>
      <w:r>
        <w:rPr>
          <w:sz w:val="24"/>
          <w:szCs w:val="24"/>
        </w:rPr>
        <w:t xml:space="preserve">must include a statement of ‘relevant donations’ to it.  Registered campaigners will be required to report donations every three months in the circa </w:t>
      </w:r>
      <w:r w:rsidR="00CB2C6C">
        <w:rPr>
          <w:sz w:val="24"/>
          <w:szCs w:val="24"/>
        </w:rPr>
        <w:t xml:space="preserve">seven and a half </w:t>
      </w:r>
      <w:r>
        <w:rPr>
          <w:sz w:val="24"/>
          <w:szCs w:val="24"/>
        </w:rPr>
        <w:t>month regulated period before polling day at UK Parliamentary general elections</w:t>
      </w:r>
      <w:r>
        <w:rPr>
          <w:rStyle w:val="FootnoteReference"/>
          <w:sz w:val="24"/>
          <w:szCs w:val="24"/>
        </w:rPr>
        <w:footnoteReference w:id="2"/>
      </w:r>
      <w:r>
        <w:rPr>
          <w:sz w:val="24"/>
          <w:szCs w:val="24"/>
        </w:rPr>
        <w:t>, and also (as at present) after the poll.</w:t>
      </w:r>
    </w:p>
    <w:p w14:paraId="26F04DC9" w14:textId="77777777" w:rsidR="00DE7498" w:rsidRDefault="009F0D32" w:rsidP="00C9625D">
      <w:pPr>
        <w:pStyle w:val="ListParagraph"/>
        <w:numPr>
          <w:ilvl w:val="0"/>
          <w:numId w:val="1"/>
        </w:numPr>
        <w:ind w:left="840" w:hanging="294"/>
        <w:rPr>
          <w:sz w:val="24"/>
          <w:szCs w:val="24"/>
        </w:rPr>
      </w:pPr>
      <w:r>
        <w:rPr>
          <w:sz w:val="24"/>
          <w:szCs w:val="24"/>
        </w:rPr>
        <w:t>Relevant donations are donations to the third party in respect of controlled spending that is used for specified campaigning activities during the regulated period.  Donations can include non-financial support given to an organisation, but does not include the time of volunteers.</w:t>
      </w:r>
    </w:p>
    <w:p w14:paraId="6BE4CDD1" w14:textId="77777777" w:rsidR="00DE7498" w:rsidRPr="00DE7498" w:rsidRDefault="009F0D32" w:rsidP="00C9625D">
      <w:pPr>
        <w:pStyle w:val="ListParagraph"/>
        <w:numPr>
          <w:ilvl w:val="0"/>
          <w:numId w:val="1"/>
        </w:numPr>
        <w:ind w:left="840" w:hanging="294"/>
        <w:rPr>
          <w:sz w:val="24"/>
          <w:szCs w:val="24"/>
        </w:rPr>
      </w:pPr>
      <w:r w:rsidRPr="00DE7498">
        <w:rPr>
          <w:sz w:val="24"/>
          <w:szCs w:val="24"/>
        </w:rPr>
        <w:t xml:space="preserve">Both the number and type of third party organisations required to register with the Commission is </w:t>
      </w:r>
      <w:r w:rsidR="00EB00A6">
        <w:rPr>
          <w:sz w:val="24"/>
          <w:szCs w:val="24"/>
        </w:rPr>
        <w:t>likely to increase</w:t>
      </w:r>
      <w:r w:rsidRPr="00DE7498">
        <w:rPr>
          <w:sz w:val="24"/>
          <w:szCs w:val="24"/>
        </w:rPr>
        <w:t>,</w:t>
      </w:r>
      <w:r w:rsidR="00EB00A6">
        <w:rPr>
          <w:sz w:val="24"/>
          <w:szCs w:val="24"/>
        </w:rPr>
        <w:t xml:space="preserve"> with the </w:t>
      </w:r>
      <w:r w:rsidRPr="00DE7498">
        <w:rPr>
          <w:sz w:val="24"/>
          <w:szCs w:val="24"/>
        </w:rPr>
        <w:t xml:space="preserve"> scope of controlled expenditure</w:t>
      </w:r>
      <w:r w:rsidR="00EB00A6">
        <w:rPr>
          <w:sz w:val="24"/>
          <w:szCs w:val="24"/>
        </w:rPr>
        <w:t xml:space="preserve"> expanding</w:t>
      </w:r>
      <w:r w:rsidRPr="00DE7498">
        <w:rPr>
          <w:sz w:val="24"/>
          <w:szCs w:val="24"/>
        </w:rPr>
        <w:t>; and therefore potentially the incidence of relevant donations.</w:t>
      </w:r>
    </w:p>
    <w:p w14:paraId="43B8C04D" w14:textId="77777777" w:rsidR="00DE7498" w:rsidRDefault="00DE7498" w:rsidP="00C9625D">
      <w:pPr>
        <w:pStyle w:val="ListParagraph"/>
        <w:ind w:left="28"/>
        <w:rPr>
          <w:sz w:val="24"/>
          <w:szCs w:val="24"/>
        </w:rPr>
      </w:pPr>
    </w:p>
    <w:p w14:paraId="21B62550" w14:textId="2E377ECC" w:rsidR="00DE7498" w:rsidRDefault="009F0D32" w:rsidP="00C9625D">
      <w:pPr>
        <w:pStyle w:val="ListParagraph"/>
        <w:numPr>
          <w:ilvl w:val="0"/>
          <w:numId w:val="3"/>
        </w:numPr>
        <w:ind w:left="28" w:firstLine="0"/>
        <w:rPr>
          <w:sz w:val="24"/>
          <w:szCs w:val="24"/>
        </w:rPr>
      </w:pPr>
      <w:r w:rsidRPr="00DE7498">
        <w:rPr>
          <w:sz w:val="24"/>
          <w:szCs w:val="24"/>
        </w:rPr>
        <w:t xml:space="preserve">Under the Political Party Elections and Referendums Act 2000 </w:t>
      </w:r>
      <w:r w:rsidR="008D228E">
        <w:rPr>
          <w:sz w:val="24"/>
          <w:szCs w:val="24"/>
        </w:rPr>
        <w:t xml:space="preserve">(PPERA) </w:t>
      </w:r>
      <w:r w:rsidRPr="00DE7498">
        <w:rPr>
          <w:sz w:val="24"/>
          <w:szCs w:val="24"/>
        </w:rPr>
        <w:t>if a Commissioner were to be properly listed by a third party registered campaigner in its financial return to the Commission as a donor (of £7,500 or more), the Commissioner would be deemed to cease to hold office.</w:t>
      </w:r>
      <w:r w:rsidR="003B1E15">
        <w:rPr>
          <w:sz w:val="24"/>
          <w:szCs w:val="24"/>
        </w:rPr>
        <w:t xml:space="preserve"> </w:t>
      </w:r>
    </w:p>
    <w:p w14:paraId="63C231A5" w14:textId="77777777" w:rsidR="00DE7498" w:rsidRDefault="00DE7498" w:rsidP="00C9625D">
      <w:pPr>
        <w:pStyle w:val="ListParagraph"/>
        <w:ind w:left="28"/>
        <w:rPr>
          <w:sz w:val="24"/>
          <w:szCs w:val="24"/>
        </w:rPr>
      </w:pPr>
    </w:p>
    <w:p w14:paraId="511CB2B8" w14:textId="5D6364DE" w:rsidR="00C9625D" w:rsidRPr="00C94134" w:rsidRDefault="009F0D32" w:rsidP="00C36CCD">
      <w:pPr>
        <w:pStyle w:val="ListParagraph"/>
        <w:numPr>
          <w:ilvl w:val="0"/>
          <w:numId w:val="3"/>
        </w:numPr>
        <w:ind w:left="28" w:firstLine="0"/>
        <w:rPr>
          <w:sz w:val="24"/>
          <w:szCs w:val="24"/>
        </w:rPr>
      </w:pPr>
      <w:r w:rsidRPr="00C94134">
        <w:rPr>
          <w:sz w:val="24"/>
          <w:szCs w:val="24"/>
        </w:rPr>
        <w:t>Accordingly in the context of the forthcoming UK Parliamentary general election</w:t>
      </w:r>
      <w:r w:rsidR="00C36CCD" w:rsidRPr="00C94134">
        <w:rPr>
          <w:sz w:val="24"/>
          <w:szCs w:val="24"/>
        </w:rPr>
        <w:t xml:space="preserve"> (and the elections referred to in footnote 1)</w:t>
      </w:r>
      <w:r w:rsidRPr="00C94134">
        <w:rPr>
          <w:sz w:val="24"/>
          <w:szCs w:val="24"/>
        </w:rPr>
        <w:t xml:space="preserve">, a gift or donation of £7,500 or over (including cumulatively by smaller payments) made to a </w:t>
      </w:r>
      <w:r w:rsidR="00F43569" w:rsidRPr="00C94134">
        <w:rPr>
          <w:sz w:val="24"/>
          <w:szCs w:val="24"/>
        </w:rPr>
        <w:t xml:space="preserve">registered </w:t>
      </w:r>
      <w:r w:rsidRPr="00C94134">
        <w:rPr>
          <w:sz w:val="24"/>
          <w:szCs w:val="24"/>
        </w:rPr>
        <w:t xml:space="preserve">third party organisation e.g. a charity - if the organisation reports it as relating to controlled spending – would trigger the Commissioner ceasing to hold office. This would apply </w:t>
      </w:r>
      <w:r w:rsidRPr="00C94134">
        <w:rPr>
          <w:sz w:val="24"/>
          <w:szCs w:val="24"/>
        </w:rPr>
        <w:lastRenderedPageBreak/>
        <w:t>even if the gift or donation w</w:t>
      </w:r>
      <w:r w:rsidR="00E22438" w:rsidRPr="00C94134">
        <w:rPr>
          <w:sz w:val="24"/>
          <w:szCs w:val="24"/>
        </w:rPr>
        <w:t>ere</w:t>
      </w:r>
      <w:r w:rsidRPr="00C94134">
        <w:rPr>
          <w:sz w:val="24"/>
          <w:szCs w:val="24"/>
        </w:rPr>
        <w:t xml:space="preserve"> made without intent or knowledge that the receiving organisation may subsequently use it for campaigning purposes.</w:t>
      </w:r>
    </w:p>
    <w:p w14:paraId="55010EE4" w14:textId="77777777" w:rsidR="00C36CCD" w:rsidRPr="00E22438" w:rsidRDefault="009F0D32" w:rsidP="00C36CCD">
      <w:pPr>
        <w:rPr>
          <w:sz w:val="28"/>
          <w:szCs w:val="28"/>
        </w:rPr>
      </w:pPr>
      <w:r w:rsidRPr="00E22438">
        <w:rPr>
          <w:sz w:val="28"/>
          <w:szCs w:val="28"/>
        </w:rPr>
        <w:t>Frequently asked questions</w:t>
      </w:r>
      <w:r w:rsidR="00C9625D">
        <w:rPr>
          <w:sz w:val="28"/>
          <w:szCs w:val="28"/>
        </w:rPr>
        <w:t xml:space="preserve"> – risk of ceasing to hold office</w:t>
      </w:r>
    </w:p>
    <w:p w14:paraId="24A516B3" w14:textId="77777777" w:rsidR="00B044FA" w:rsidRPr="00E22438" w:rsidRDefault="009F0D32" w:rsidP="00C9625D">
      <w:pPr>
        <w:ind w:left="434" w:hanging="434"/>
        <w:rPr>
          <w:sz w:val="24"/>
          <w:szCs w:val="24"/>
        </w:rPr>
      </w:pPr>
      <w:r w:rsidRPr="00E22438">
        <w:rPr>
          <w:sz w:val="24"/>
          <w:szCs w:val="24"/>
        </w:rPr>
        <w:t xml:space="preserve">Q.1 </w:t>
      </w:r>
      <w:r w:rsidRPr="00E22438">
        <w:rPr>
          <w:sz w:val="24"/>
          <w:szCs w:val="24"/>
        </w:rPr>
        <w:tab/>
      </w:r>
      <w:r w:rsidRPr="00C9625D">
        <w:rPr>
          <w:b/>
          <w:sz w:val="24"/>
          <w:szCs w:val="24"/>
        </w:rPr>
        <w:t>I make donations (or they are made indirectly through another</w:t>
      </w:r>
      <w:r w:rsidR="00FF36FE" w:rsidRPr="00C9625D">
        <w:rPr>
          <w:b/>
          <w:sz w:val="24"/>
          <w:szCs w:val="24"/>
        </w:rPr>
        <w:t xml:space="preserve"> vehicle, such </w:t>
      </w:r>
      <w:r w:rsidRPr="00C9625D">
        <w:rPr>
          <w:b/>
          <w:sz w:val="24"/>
          <w:szCs w:val="24"/>
        </w:rPr>
        <w:t>as a trust I have an interest in) from time to time to a third party organisation that I support e.g. a charity, a faith group, a trade union or a trade association. I do not stipulate how they may be used by the third party. These may cumulatively add up to £7,500 or more. Does this trigger the PPERA provision whereby I cease to be a Commissioner?</w:t>
      </w:r>
    </w:p>
    <w:p w14:paraId="6C648AA5" w14:textId="77777777" w:rsidR="00B044FA" w:rsidRPr="00E22438" w:rsidRDefault="009F0D32" w:rsidP="00C9625D">
      <w:pPr>
        <w:ind w:left="434" w:hanging="434"/>
        <w:rPr>
          <w:sz w:val="24"/>
          <w:szCs w:val="24"/>
        </w:rPr>
      </w:pPr>
      <w:r w:rsidRPr="00E22438">
        <w:rPr>
          <w:sz w:val="24"/>
          <w:szCs w:val="24"/>
        </w:rPr>
        <w:t>A.</w:t>
      </w:r>
      <w:r w:rsidRPr="00E22438">
        <w:rPr>
          <w:sz w:val="24"/>
          <w:szCs w:val="24"/>
        </w:rPr>
        <w:tab/>
      </w:r>
      <w:r w:rsidR="00D36EE5" w:rsidRPr="00E22438">
        <w:rPr>
          <w:sz w:val="24"/>
          <w:szCs w:val="24"/>
        </w:rPr>
        <w:t>Probably not.</w:t>
      </w:r>
      <w:r w:rsidR="003B1E15" w:rsidRPr="00E22438">
        <w:rPr>
          <w:sz w:val="24"/>
          <w:szCs w:val="24"/>
        </w:rPr>
        <w:t xml:space="preserve"> That is, i</w:t>
      </w:r>
      <w:r w:rsidR="00202BB8" w:rsidRPr="00E22438">
        <w:rPr>
          <w:sz w:val="24"/>
          <w:szCs w:val="24"/>
        </w:rPr>
        <w:t>f the donations you make are for the general purposes of the third party and there is no indication from you or the third party that they will u</w:t>
      </w:r>
      <w:r w:rsidR="00D36EE5" w:rsidRPr="00E22438">
        <w:rPr>
          <w:sz w:val="24"/>
          <w:szCs w:val="24"/>
        </w:rPr>
        <w:t xml:space="preserve">se </w:t>
      </w:r>
      <w:r w:rsidR="00FF36FE" w:rsidRPr="00E22438">
        <w:rPr>
          <w:sz w:val="24"/>
          <w:szCs w:val="24"/>
        </w:rPr>
        <w:t>the donations</w:t>
      </w:r>
      <w:r w:rsidR="00D36EE5" w:rsidRPr="00E22438">
        <w:rPr>
          <w:sz w:val="24"/>
          <w:szCs w:val="24"/>
        </w:rPr>
        <w:t xml:space="preserve"> for </w:t>
      </w:r>
      <w:r w:rsidR="00A453FE" w:rsidRPr="00E22438">
        <w:rPr>
          <w:sz w:val="24"/>
          <w:szCs w:val="24"/>
        </w:rPr>
        <w:t>campaigning intended to influence voters.</w:t>
      </w:r>
      <w:r w:rsidR="00202BB8" w:rsidRPr="00E22438">
        <w:rPr>
          <w:sz w:val="24"/>
          <w:szCs w:val="24"/>
        </w:rPr>
        <w:t xml:space="preserve"> </w:t>
      </w:r>
      <w:r w:rsidR="00D36EE5" w:rsidRPr="00E22438">
        <w:rPr>
          <w:sz w:val="24"/>
          <w:szCs w:val="24"/>
        </w:rPr>
        <w:t>I</w:t>
      </w:r>
      <w:r w:rsidR="00202BB8" w:rsidRPr="00E22438">
        <w:rPr>
          <w:sz w:val="24"/>
          <w:szCs w:val="24"/>
        </w:rPr>
        <w:t xml:space="preserve">t would be unlikely that </w:t>
      </w:r>
      <w:r w:rsidR="00D36EE5" w:rsidRPr="00E22438">
        <w:rPr>
          <w:sz w:val="24"/>
          <w:szCs w:val="24"/>
        </w:rPr>
        <w:t xml:space="preserve">this </w:t>
      </w:r>
      <w:r w:rsidR="00202BB8" w:rsidRPr="00E22438">
        <w:rPr>
          <w:sz w:val="24"/>
          <w:szCs w:val="24"/>
        </w:rPr>
        <w:t xml:space="preserve">could be properly concluded </w:t>
      </w:r>
      <w:r w:rsidR="00D36EE5" w:rsidRPr="00E22438">
        <w:rPr>
          <w:sz w:val="24"/>
          <w:szCs w:val="24"/>
        </w:rPr>
        <w:t xml:space="preserve">as </w:t>
      </w:r>
      <w:r w:rsidR="00202BB8" w:rsidRPr="00E22438">
        <w:rPr>
          <w:sz w:val="24"/>
          <w:szCs w:val="24"/>
        </w:rPr>
        <w:t xml:space="preserve">you donating for </w:t>
      </w:r>
      <w:r w:rsidR="00A453FE" w:rsidRPr="00E22438">
        <w:rPr>
          <w:sz w:val="24"/>
          <w:szCs w:val="24"/>
        </w:rPr>
        <w:t>such</w:t>
      </w:r>
      <w:r w:rsidR="00202BB8" w:rsidRPr="00E22438">
        <w:rPr>
          <w:sz w:val="24"/>
          <w:szCs w:val="24"/>
        </w:rPr>
        <w:t xml:space="preserve"> purposes. So, the risk of the</w:t>
      </w:r>
      <w:r w:rsidR="00D36EE5" w:rsidRPr="00E22438">
        <w:rPr>
          <w:sz w:val="24"/>
          <w:szCs w:val="24"/>
        </w:rPr>
        <w:t xml:space="preserve"> PPERA trigger applying sh</w:t>
      </w:r>
      <w:r w:rsidR="00202BB8" w:rsidRPr="00E22438">
        <w:rPr>
          <w:sz w:val="24"/>
          <w:szCs w:val="24"/>
        </w:rPr>
        <w:t xml:space="preserve">ould be </w:t>
      </w:r>
      <w:r w:rsidR="00D36EE5" w:rsidRPr="00E22438">
        <w:rPr>
          <w:sz w:val="24"/>
          <w:szCs w:val="24"/>
        </w:rPr>
        <w:t>low</w:t>
      </w:r>
      <w:r w:rsidR="00202BB8" w:rsidRPr="00E22438">
        <w:rPr>
          <w:sz w:val="24"/>
          <w:szCs w:val="24"/>
        </w:rPr>
        <w:t>.</w:t>
      </w:r>
    </w:p>
    <w:p w14:paraId="6827CFEE" w14:textId="77777777" w:rsidR="00B044FA" w:rsidRPr="00E22438" w:rsidRDefault="009F0D32" w:rsidP="00C9625D">
      <w:pPr>
        <w:ind w:left="434"/>
        <w:rPr>
          <w:sz w:val="24"/>
          <w:szCs w:val="24"/>
        </w:rPr>
      </w:pPr>
      <w:r w:rsidRPr="00E22438">
        <w:rPr>
          <w:sz w:val="24"/>
          <w:szCs w:val="24"/>
        </w:rPr>
        <w:t xml:space="preserve">However, </w:t>
      </w:r>
      <w:r w:rsidR="00D36EE5" w:rsidRPr="00E22438">
        <w:rPr>
          <w:sz w:val="24"/>
          <w:szCs w:val="24"/>
        </w:rPr>
        <w:t xml:space="preserve">you do need to bear in mind that </w:t>
      </w:r>
      <w:r w:rsidR="003B1E15" w:rsidRPr="00E22438">
        <w:rPr>
          <w:sz w:val="24"/>
          <w:szCs w:val="24"/>
        </w:rPr>
        <w:t xml:space="preserve">the PPERA trigger </w:t>
      </w:r>
      <w:r w:rsidR="00D36EE5" w:rsidRPr="00E22438">
        <w:rPr>
          <w:sz w:val="24"/>
          <w:szCs w:val="24"/>
        </w:rPr>
        <w:t>c</w:t>
      </w:r>
      <w:r w:rsidR="003B1E15" w:rsidRPr="00E22438">
        <w:rPr>
          <w:sz w:val="24"/>
          <w:szCs w:val="24"/>
        </w:rPr>
        <w:t xml:space="preserve">ould apply </w:t>
      </w:r>
      <w:r w:rsidR="00D36EE5" w:rsidRPr="00E22438">
        <w:rPr>
          <w:sz w:val="24"/>
          <w:szCs w:val="24"/>
        </w:rPr>
        <w:t xml:space="preserve">in some circumstances e.g. if you </w:t>
      </w:r>
      <w:r w:rsidRPr="00E22438">
        <w:rPr>
          <w:sz w:val="24"/>
          <w:szCs w:val="24"/>
        </w:rPr>
        <w:t>made these donations</w:t>
      </w:r>
      <w:r w:rsidR="003B1E15" w:rsidRPr="00E22438">
        <w:rPr>
          <w:sz w:val="24"/>
          <w:szCs w:val="24"/>
        </w:rPr>
        <w:t xml:space="preserve"> in a context where their use for campaigning purposes </w:t>
      </w:r>
      <w:r w:rsidR="00A453FE" w:rsidRPr="00E22438">
        <w:rPr>
          <w:sz w:val="24"/>
          <w:szCs w:val="24"/>
        </w:rPr>
        <w:t xml:space="preserve">(intended to influence voters) </w:t>
      </w:r>
      <w:r w:rsidR="003B1E15" w:rsidRPr="00E22438">
        <w:rPr>
          <w:sz w:val="24"/>
          <w:szCs w:val="24"/>
        </w:rPr>
        <w:t>wa</w:t>
      </w:r>
      <w:r w:rsidR="00D36EE5" w:rsidRPr="00E22438">
        <w:rPr>
          <w:sz w:val="24"/>
          <w:szCs w:val="24"/>
        </w:rPr>
        <w:t xml:space="preserve">s </w:t>
      </w:r>
      <w:r w:rsidR="00E35E4B" w:rsidRPr="00E22438">
        <w:rPr>
          <w:sz w:val="24"/>
          <w:szCs w:val="24"/>
        </w:rPr>
        <w:t xml:space="preserve">a requirement or </w:t>
      </w:r>
      <w:r w:rsidR="00D36EE5" w:rsidRPr="00E22438">
        <w:rPr>
          <w:sz w:val="24"/>
          <w:szCs w:val="24"/>
        </w:rPr>
        <w:t xml:space="preserve">objectively </w:t>
      </w:r>
      <w:r w:rsidR="00E35E4B" w:rsidRPr="00E22438">
        <w:rPr>
          <w:sz w:val="24"/>
          <w:szCs w:val="24"/>
        </w:rPr>
        <w:t xml:space="preserve">possible </w:t>
      </w:r>
      <w:r w:rsidR="00D36EE5" w:rsidRPr="00E22438">
        <w:rPr>
          <w:sz w:val="24"/>
          <w:szCs w:val="24"/>
        </w:rPr>
        <w:t>or likely.</w:t>
      </w:r>
      <w:r w:rsidR="003B1E15" w:rsidRPr="00E22438">
        <w:rPr>
          <w:sz w:val="24"/>
          <w:szCs w:val="24"/>
        </w:rPr>
        <w:t xml:space="preserve"> </w:t>
      </w:r>
    </w:p>
    <w:p w14:paraId="5A60BE31" w14:textId="4B9EF4E5" w:rsidR="00B044FA" w:rsidRPr="00E22438" w:rsidRDefault="009F0D32" w:rsidP="00C9625D">
      <w:pPr>
        <w:ind w:left="434" w:hanging="434"/>
        <w:rPr>
          <w:sz w:val="24"/>
          <w:szCs w:val="24"/>
        </w:rPr>
      </w:pPr>
      <w:r w:rsidRPr="00E22438">
        <w:rPr>
          <w:sz w:val="24"/>
          <w:szCs w:val="24"/>
        </w:rPr>
        <w:t xml:space="preserve">Q.2 </w:t>
      </w:r>
      <w:r w:rsidRPr="00E22438">
        <w:rPr>
          <w:sz w:val="24"/>
          <w:szCs w:val="24"/>
        </w:rPr>
        <w:tab/>
      </w:r>
      <w:r w:rsidRPr="00C9625D">
        <w:rPr>
          <w:b/>
          <w:sz w:val="24"/>
          <w:szCs w:val="24"/>
        </w:rPr>
        <w:t xml:space="preserve">I am a trustee or on the board of a third party organisation </w:t>
      </w:r>
      <w:r w:rsidR="00C9625D" w:rsidRPr="00C9625D">
        <w:rPr>
          <w:b/>
          <w:sz w:val="24"/>
          <w:szCs w:val="24"/>
        </w:rPr>
        <w:t>and/</w:t>
      </w:r>
      <w:r w:rsidR="00FF36FE" w:rsidRPr="00C9625D">
        <w:rPr>
          <w:b/>
          <w:sz w:val="24"/>
          <w:szCs w:val="24"/>
        </w:rPr>
        <w:t xml:space="preserve">or give them advice and </w:t>
      </w:r>
      <w:r w:rsidR="00954DFD" w:rsidRPr="00C9625D">
        <w:rPr>
          <w:b/>
          <w:sz w:val="24"/>
          <w:szCs w:val="24"/>
        </w:rPr>
        <w:t xml:space="preserve">expertise. The ‘value’ </w:t>
      </w:r>
      <w:r w:rsidR="00FF36FE" w:rsidRPr="00C9625D">
        <w:rPr>
          <w:b/>
          <w:sz w:val="24"/>
          <w:szCs w:val="24"/>
        </w:rPr>
        <w:t xml:space="preserve">my time </w:t>
      </w:r>
      <w:r w:rsidR="00954DFD" w:rsidRPr="00C9625D">
        <w:rPr>
          <w:b/>
          <w:sz w:val="24"/>
          <w:szCs w:val="24"/>
        </w:rPr>
        <w:t>co</w:t>
      </w:r>
      <w:r w:rsidR="00D36EE5" w:rsidRPr="00C9625D">
        <w:rPr>
          <w:b/>
          <w:sz w:val="24"/>
          <w:szCs w:val="24"/>
        </w:rPr>
        <w:t xml:space="preserve">uld amount to </w:t>
      </w:r>
      <w:r w:rsidR="00954DFD" w:rsidRPr="00C9625D">
        <w:rPr>
          <w:b/>
          <w:sz w:val="24"/>
          <w:szCs w:val="24"/>
        </w:rPr>
        <w:t>£7,500 or more. Does this trigger the PPERA provision whereby I cease to be a Commissioner?</w:t>
      </w:r>
    </w:p>
    <w:p w14:paraId="4C6D4ABF" w14:textId="77777777" w:rsidR="00B044FA" w:rsidRPr="00E22438" w:rsidRDefault="009F0D32" w:rsidP="00C9625D">
      <w:pPr>
        <w:ind w:left="434" w:hanging="434"/>
        <w:rPr>
          <w:b/>
          <w:sz w:val="24"/>
          <w:szCs w:val="24"/>
        </w:rPr>
      </w:pPr>
      <w:r w:rsidRPr="00E22438">
        <w:rPr>
          <w:sz w:val="24"/>
          <w:szCs w:val="24"/>
        </w:rPr>
        <w:t>A.</w:t>
      </w:r>
      <w:r w:rsidRPr="00E22438">
        <w:rPr>
          <w:sz w:val="24"/>
          <w:szCs w:val="24"/>
        </w:rPr>
        <w:tab/>
      </w:r>
      <w:r w:rsidR="00F63962" w:rsidRPr="00E22438">
        <w:rPr>
          <w:sz w:val="24"/>
          <w:szCs w:val="24"/>
        </w:rPr>
        <w:t>Probably not</w:t>
      </w:r>
      <w:r w:rsidR="00E35E4B" w:rsidRPr="00E22438">
        <w:rPr>
          <w:sz w:val="24"/>
          <w:szCs w:val="24"/>
        </w:rPr>
        <w:t xml:space="preserve">. </w:t>
      </w:r>
      <w:r w:rsidR="00A453FE" w:rsidRPr="00E22438">
        <w:rPr>
          <w:sz w:val="24"/>
          <w:szCs w:val="24"/>
        </w:rPr>
        <w:t>The d</w:t>
      </w:r>
      <w:r w:rsidR="00E35E4B" w:rsidRPr="00E22438">
        <w:rPr>
          <w:sz w:val="24"/>
          <w:szCs w:val="24"/>
        </w:rPr>
        <w:t>onations</w:t>
      </w:r>
      <w:r w:rsidR="00A453FE" w:rsidRPr="00E22438">
        <w:rPr>
          <w:sz w:val="24"/>
          <w:szCs w:val="24"/>
        </w:rPr>
        <w:t xml:space="preserve"> (</w:t>
      </w:r>
      <w:r w:rsidR="00E35E4B" w:rsidRPr="00E22438">
        <w:rPr>
          <w:sz w:val="24"/>
          <w:szCs w:val="24"/>
        </w:rPr>
        <w:t>whether in money or in kind</w:t>
      </w:r>
      <w:r w:rsidR="00A453FE" w:rsidRPr="00E22438">
        <w:rPr>
          <w:sz w:val="24"/>
          <w:szCs w:val="24"/>
        </w:rPr>
        <w:t>),</w:t>
      </w:r>
      <w:r w:rsidRPr="00E22438">
        <w:rPr>
          <w:sz w:val="24"/>
          <w:szCs w:val="24"/>
        </w:rPr>
        <w:t xml:space="preserve"> </w:t>
      </w:r>
      <w:r w:rsidR="00A453FE" w:rsidRPr="00E22438">
        <w:rPr>
          <w:sz w:val="24"/>
          <w:szCs w:val="24"/>
        </w:rPr>
        <w:t xml:space="preserve">would </w:t>
      </w:r>
      <w:r w:rsidRPr="00E22438">
        <w:rPr>
          <w:sz w:val="24"/>
          <w:szCs w:val="24"/>
        </w:rPr>
        <w:t xml:space="preserve">only </w:t>
      </w:r>
      <w:r w:rsidR="00A453FE" w:rsidRPr="00E22438">
        <w:rPr>
          <w:sz w:val="24"/>
          <w:szCs w:val="24"/>
        </w:rPr>
        <w:t xml:space="preserve">be </w:t>
      </w:r>
      <w:r w:rsidRPr="00E22438">
        <w:rPr>
          <w:sz w:val="24"/>
          <w:szCs w:val="24"/>
        </w:rPr>
        <w:t xml:space="preserve">regulated if they were </w:t>
      </w:r>
      <w:r w:rsidR="00E35E4B" w:rsidRPr="00E22438">
        <w:rPr>
          <w:sz w:val="24"/>
          <w:szCs w:val="24"/>
        </w:rPr>
        <w:t xml:space="preserve">directed towards </w:t>
      </w:r>
      <w:r w:rsidR="00A453FE" w:rsidRPr="00E22438">
        <w:rPr>
          <w:sz w:val="24"/>
          <w:szCs w:val="24"/>
        </w:rPr>
        <w:t xml:space="preserve">campaigning </w:t>
      </w:r>
      <w:r w:rsidR="00E35E4B" w:rsidRPr="00E22438">
        <w:rPr>
          <w:sz w:val="24"/>
          <w:szCs w:val="24"/>
        </w:rPr>
        <w:t>purposes</w:t>
      </w:r>
      <w:r w:rsidR="00A453FE" w:rsidRPr="00E22438">
        <w:rPr>
          <w:sz w:val="24"/>
          <w:szCs w:val="24"/>
        </w:rPr>
        <w:t xml:space="preserve"> intended to influence voters.</w:t>
      </w:r>
      <w:r w:rsidR="00E35E4B" w:rsidRPr="00E22438">
        <w:rPr>
          <w:sz w:val="24"/>
          <w:szCs w:val="24"/>
        </w:rPr>
        <w:t xml:space="preserve"> Further, volunteering activities </w:t>
      </w:r>
      <w:r w:rsidR="00F63962" w:rsidRPr="00E22438">
        <w:rPr>
          <w:sz w:val="24"/>
          <w:szCs w:val="24"/>
        </w:rPr>
        <w:t>are not caught by the third party regulatory requirements.</w:t>
      </w:r>
      <w:r w:rsidRPr="00E22438">
        <w:rPr>
          <w:sz w:val="24"/>
          <w:szCs w:val="24"/>
        </w:rPr>
        <w:t xml:space="preserve"> So, provided you are not being paid for the activity (apart from re-imbursement of expenses), it would be unlikely that this could properly </w:t>
      </w:r>
      <w:r w:rsidR="00A453FE" w:rsidRPr="00E22438">
        <w:rPr>
          <w:sz w:val="24"/>
          <w:szCs w:val="24"/>
        </w:rPr>
        <w:t xml:space="preserve">be </w:t>
      </w:r>
      <w:r w:rsidRPr="00E22438">
        <w:rPr>
          <w:sz w:val="24"/>
          <w:szCs w:val="24"/>
        </w:rPr>
        <w:t>concluded as you donating for campaigning purposes</w:t>
      </w:r>
      <w:r w:rsidR="00A453FE" w:rsidRPr="00E22438">
        <w:rPr>
          <w:sz w:val="24"/>
          <w:szCs w:val="24"/>
        </w:rPr>
        <w:t xml:space="preserve"> intended to influence voters.</w:t>
      </w:r>
      <w:r w:rsidRPr="00E22438">
        <w:rPr>
          <w:sz w:val="24"/>
          <w:szCs w:val="24"/>
        </w:rPr>
        <w:t xml:space="preserve"> The risk of the PPERA trigger applying should be lo</w:t>
      </w:r>
      <w:r w:rsidRPr="00E22438">
        <w:rPr>
          <w:sz w:val="24"/>
          <w:szCs w:val="24"/>
        </w:rPr>
        <w:t>w.</w:t>
      </w:r>
    </w:p>
    <w:p w14:paraId="17D95F46" w14:textId="77777777" w:rsidR="00B044FA" w:rsidRPr="00E22438" w:rsidRDefault="009F0D32" w:rsidP="00C9625D">
      <w:pPr>
        <w:ind w:left="434"/>
        <w:rPr>
          <w:b/>
          <w:sz w:val="24"/>
          <w:szCs w:val="24"/>
        </w:rPr>
      </w:pPr>
      <w:r w:rsidRPr="00E22438">
        <w:rPr>
          <w:sz w:val="24"/>
          <w:szCs w:val="24"/>
        </w:rPr>
        <w:t xml:space="preserve">However, you do need to bear in mind that the PPERA trigger could apply in some circumstances e.g. if your advice, expertise and time was given or paid for in a context where their application was clearly for or objectively possible or likely to be used for </w:t>
      </w:r>
      <w:r w:rsidR="00A453FE" w:rsidRPr="00E22438">
        <w:rPr>
          <w:sz w:val="24"/>
          <w:szCs w:val="24"/>
        </w:rPr>
        <w:t>c</w:t>
      </w:r>
      <w:r w:rsidRPr="00E22438">
        <w:rPr>
          <w:sz w:val="24"/>
          <w:szCs w:val="24"/>
        </w:rPr>
        <w:t>ampaigning purposes</w:t>
      </w:r>
      <w:r w:rsidR="00A453FE" w:rsidRPr="00E22438">
        <w:rPr>
          <w:sz w:val="24"/>
          <w:szCs w:val="24"/>
        </w:rPr>
        <w:t xml:space="preserve"> intended to influence voters</w:t>
      </w:r>
      <w:r w:rsidRPr="00E22438">
        <w:rPr>
          <w:sz w:val="24"/>
          <w:szCs w:val="24"/>
        </w:rPr>
        <w:t xml:space="preserve">.   </w:t>
      </w:r>
    </w:p>
    <w:p w14:paraId="0928CAC3" w14:textId="77777777" w:rsidR="00B044FA" w:rsidRPr="00E22438" w:rsidRDefault="009F0D32" w:rsidP="00C9625D">
      <w:pPr>
        <w:ind w:left="434" w:hanging="434"/>
        <w:rPr>
          <w:sz w:val="24"/>
          <w:szCs w:val="24"/>
        </w:rPr>
      </w:pPr>
      <w:r w:rsidRPr="00E22438">
        <w:rPr>
          <w:sz w:val="24"/>
          <w:szCs w:val="24"/>
        </w:rPr>
        <w:t>Q.3</w:t>
      </w:r>
      <w:r w:rsidRPr="00E22438">
        <w:rPr>
          <w:sz w:val="24"/>
          <w:szCs w:val="24"/>
        </w:rPr>
        <w:tab/>
      </w:r>
      <w:r w:rsidRPr="00C9625D">
        <w:rPr>
          <w:b/>
          <w:sz w:val="24"/>
          <w:szCs w:val="24"/>
        </w:rPr>
        <w:t>In considering whether a number of donations cumulatively add up to £7,500 or more over what time period do I calculate this?</w:t>
      </w:r>
    </w:p>
    <w:p w14:paraId="7CF75581" w14:textId="77777777" w:rsidR="00A453FE" w:rsidRPr="00A453FE" w:rsidRDefault="009F0D32" w:rsidP="00C9625D">
      <w:pPr>
        <w:ind w:left="434" w:hanging="434"/>
        <w:rPr>
          <w:sz w:val="24"/>
          <w:szCs w:val="24"/>
        </w:rPr>
      </w:pPr>
      <w:r w:rsidRPr="00E22438">
        <w:rPr>
          <w:sz w:val="24"/>
          <w:szCs w:val="24"/>
        </w:rPr>
        <w:t>A.</w:t>
      </w:r>
      <w:r w:rsidRPr="00E22438">
        <w:rPr>
          <w:sz w:val="24"/>
          <w:szCs w:val="24"/>
        </w:rPr>
        <w:tab/>
        <w:t xml:space="preserve">It is only necessary to add up separate donations </w:t>
      </w:r>
      <w:r w:rsidR="007168E9" w:rsidRPr="00E22438">
        <w:rPr>
          <w:sz w:val="24"/>
          <w:szCs w:val="24"/>
        </w:rPr>
        <w:t xml:space="preserve">given </w:t>
      </w:r>
      <w:r w:rsidRPr="00E22438">
        <w:rPr>
          <w:sz w:val="24"/>
          <w:szCs w:val="24"/>
        </w:rPr>
        <w:t xml:space="preserve">over a period of time if it could reasonably be concluded that they are part of a number of donations all linked to a particular purpose </w:t>
      </w:r>
      <w:r w:rsidR="007168E9" w:rsidRPr="00E22438">
        <w:rPr>
          <w:sz w:val="24"/>
          <w:szCs w:val="24"/>
        </w:rPr>
        <w:t xml:space="preserve">and this </w:t>
      </w:r>
      <w:r w:rsidRPr="00E22438">
        <w:rPr>
          <w:sz w:val="24"/>
          <w:szCs w:val="24"/>
        </w:rPr>
        <w:t xml:space="preserve">will properly flow through to reference to </w:t>
      </w:r>
      <w:r w:rsidRPr="00E22438">
        <w:rPr>
          <w:sz w:val="24"/>
          <w:szCs w:val="24"/>
        </w:rPr>
        <w:lastRenderedPageBreak/>
        <w:t xml:space="preserve">you as a donor </w:t>
      </w:r>
      <w:r w:rsidR="007168E9" w:rsidRPr="00E22438">
        <w:rPr>
          <w:sz w:val="24"/>
          <w:szCs w:val="24"/>
        </w:rPr>
        <w:t>named in a regulated third party report to the Commission on regulated expenditure in a particular election.</w:t>
      </w:r>
    </w:p>
    <w:p w14:paraId="37983EAF" w14:textId="77777777" w:rsidR="005F05A7" w:rsidRPr="005F05A7" w:rsidRDefault="009F0D32" w:rsidP="005F05A7">
      <w:pPr>
        <w:rPr>
          <w:b/>
          <w:sz w:val="24"/>
          <w:szCs w:val="24"/>
        </w:rPr>
      </w:pPr>
      <w:r w:rsidRPr="005F05A7">
        <w:rPr>
          <w:b/>
          <w:sz w:val="24"/>
          <w:szCs w:val="24"/>
        </w:rPr>
        <w:t>Declaring an interest and conflict</w:t>
      </w:r>
    </w:p>
    <w:p w14:paraId="66A98CF9" w14:textId="77777777" w:rsidR="00C9625D" w:rsidRPr="00C9625D" w:rsidRDefault="00C9625D" w:rsidP="00C9625D">
      <w:pPr>
        <w:pStyle w:val="ListParagraph"/>
        <w:numPr>
          <w:ilvl w:val="0"/>
          <w:numId w:val="10"/>
        </w:numPr>
        <w:ind w:left="0" w:firstLine="14"/>
        <w:rPr>
          <w:vanish/>
          <w:sz w:val="24"/>
          <w:szCs w:val="24"/>
        </w:rPr>
      </w:pPr>
    </w:p>
    <w:p w14:paraId="11921EA7" w14:textId="77777777" w:rsidR="00C9625D" w:rsidRPr="00C9625D" w:rsidRDefault="00C9625D" w:rsidP="00C9625D">
      <w:pPr>
        <w:pStyle w:val="ListParagraph"/>
        <w:numPr>
          <w:ilvl w:val="0"/>
          <w:numId w:val="10"/>
        </w:numPr>
        <w:ind w:left="0" w:firstLine="14"/>
        <w:rPr>
          <w:vanish/>
          <w:sz w:val="24"/>
          <w:szCs w:val="24"/>
        </w:rPr>
      </w:pPr>
    </w:p>
    <w:p w14:paraId="2DAE9940" w14:textId="77777777" w:rsidR="00C9625D" w:rsidRPr="00C9625D" w:rsidRDefault="00C9625D" w:rsidP="00C9625D">
      <w:pPr>
        <w:pStyle w:val="ListParagraph"/>
        <w:numPr>
          <w:ilvl w:val="0"/>
          <w:numId w:val="10"/>
        </w:numPr>
        <w:ind w:left="0" w:firstLine="14"/>
        <w:rPr>
          <w:vanish/>
          <w:sz w:val="24"/>
          <w:szCs w:val="24"/>
        </w:rPr>
      </w:pPr>
    </w:p>
    <w:p w14:paraId="1E3A0903" w14:textId="77777777" w:rsidR="000C67BD" w:rsidRDefault="009F0D32" w:rsidP="00C9625D">
      <w:pPr>
        <w:pStyle w:val="ListParagraph"/>
        <w:numPr>
          <w:ilvl w:val="0"/>
          <w:numId w:val="10"/>
        </w:numPr>
        <w:ind w:left="0" w:firstLine="14"/>
        <w:rPr>
          <w:sz w:val="24"/>
          <w:szCs w:val="24"/>
        </w:rPr>
      </w:pPr>
      <w:r>
        <w:rPr>
          <w:sz w:val="24"/>
          <w:szCs w:val="24"/>
        </w:rPr>
        <w:t>As reflected by the Commissioner Code of Conduct, t</w:t>
      </w:r>
      <w:r w:rsidRPr="005F05A7">
        <w:rPr>
          <w:sz w:val="24"/>
          <w:szCs w:val="24"/>
        </w:rPr>
        <w:t xml:space="preserve">he work of the Commission must be carried out free from any suggestion of improper influence, whether financial, personal, or political. This is </w:t>
      </w:r>
      <w:r>
        <w:rPr>
          <w:sz w:val="24"/>
          <w:szCs w:val="24"/>
        </w:rPr>
        <w:t xml:space="preserve">integral </w:t>
      </w:r>
      <w:r w:rsidRPr="005F05A7">
        <w:rPr>
          <w:sz w:val="24"/>
          <w:szCs w:val="24"/>
        </w:rPr>
        <w:t xml:space="preserve">to maintaining public confidence in the Commission generally, and especially in its role as a regulator. </w:t>
      </w:r>
    </w:p>
    <w:p w14:paraId="33788CFC" w14:textId="77777777" w:rsidR="00F92318" w:rsidRDefault="00F92318" w:rsidP="00C9625D">
      <w:pPr>
        <w:pStyle w:val="ListParagraph"/>
        <w:ind w:left="0" w:firstLine="14"/>
        <w:rPr>
          <w:sz w:val="24"/>
          <w:szCs w:val="24"/>
        </w:rPr>
      </w:pPr>
    </w:p>
    <w:p w14:paraId="32C571AB" w14:textId="77777777" w:rsidR="005F5E04" w:rsidRDefault="009F0D32" w:rsidP="00C9625D">
      <w:pPr>
        <w:pStyle w:val="ListParagraph"/>
        <w:numPr>
          <w:ilvl w:val="0"/>
          <w:numId w:val="10"/>
        </w:numPr>
        <w:ind w:left="0" w:firstLine="14"/>
        <w:rPr>
          <w:sz w:val="24"/>
          <w:szCs w:val="24"/>
        </w:rPr>
      </w:pPr>
      <w:r w:rsidRPr="000C67BD">
        <w:rPr>
          <w:sz w:val="24"/>
          <w:szCs w:val="24"/>
        </w:rPr>
        <w:t xml:space="preserve">It would be impracticable and unnecessary to register all personal involvement of a less direct or more minor kind with </w:t>
      </w:r>
      <w:r>
        <w:rPr>
          <w:sz w:val="24"/>
          <w:szCs w:val="24"/>
        </w:rPr>
        <w:t>third parties</w:t>
      </w:r>
      <w:r w:rsidRPr="000C67BD">
        <w:rPr>
          <w:sz w:val="24"/>
          <w:szCs w:val="24"/>
        </w:rPr>
        <w:t xml:space="preserve">, given the very wide part that </w:t>
      </w:r>
      <w:r w:rsidR="00D74517">
        <w:rPr>
          <w:sz w:val="24"/>
          <w:szCs w:val="24"/>
        </w:rPr>
        <w:t xml:space="preserve">for example </w:t>
      </w:r>
      <w:r>
        <w:rPr>
          <w:sz w:val="24"/>
          <w:szCs w:val="24"/>
        </w:rPr>
        <w:t xml:space="preserve">organisations such as </w:t>
      </w:r>
      <w:r w:rsidRPr="000C67BD">
        <w:rPr>
          <w:sz w:val="24"/>
          <w:szCs w:val="24"/>
        </w:rPr>
        <w:t xml:space="preserve">charities play in daily life. </w:t>
      </w:r>
      <w:r w:rsidRPr="005F05A7">
        <w:rPr>
          <w:sz w:val="24"/>
          <w:szCs w:val="24"/>
        </w:rPr>
        <w:t xml:space="preserve">If a </w:t>
      </w:r>
      <w:r w:rsidR="00DE7498" w:rsidRPr="005F05A7">
        <w:rPr>
          <w:sz w:val="24"/>
          <w:szCs w:val="24"/>
        </w:rPr>
        <w:t xml:space="preserve">Commissioner makes a gift or donation </w:t>
      </w:r>
      <w:r w:rsidR="00D74517">
        <w:rPr>
          <w:sz w:val="24"/>
          <w:szCs w:val="24"/>
        </w:rPr>
        <w:t xml:space="preserve">(including in time or expertise) </w:t>
      </w:r>
      <w:r w:rsidR="00DE7498" w:rsidRPr="005F05A7">
        <w:rPr>
          <w:sz w:val="24"/>
          <w:szCs w:val="24"/>
        </w:rPr>
        <w:t>to a third party, the Commissioner should consider whether to report that to the Commission as a ‘declaration of an interest’. At all times the key question to ask when assessing whether to record an interest, is - does it have an impact on the work of the Electoral Commission or reasonable public perception of my role as an Electoral Commissioner?</w:t>
      </w:r>
      <w:r w:rsidR="00C3095E">
        <w:rPr>
          <w:sz w:val="24"/>
          <w:szCs w:val="24"/>
        </w:rPr>
        <w:t xml:space="preserve"> </w:t>
      </w:r>
    </w:p>
    <w:p w14:paraId="5BA689F5" w14:textId="77777777" w:rsidR="005F5E04" w:rsidRDefault="005F5E04" w:rsidP="00C9625D">
      <w:pPr>
        <w:pStyle w:val="ListParagraph"/>
        <w:ind w:left="0" w:firstLine="14"/>
        <w:rPr>
          <w:sz w:val="24"/>
          <w:szCs w:val="24"/>
        </w:rPr>
      </w:pPr>
    </w:p>
    <w:p w14:paraId="1F0757DE" w14:textId="77777777" w:rsidR="005F5E04" w:rsidRDefault="009F0D32" w:rsidP="00C9625D">
      <w:pPr>
        <w:pStyle w:val="ListParagraph"/>
        <w:numPr>
          <w:ilvl w:val="0"/>
          <w:numId w:val="10"/>
        </w:numPr>
        <w:ind w:left="0" w:firstLine="14"/>
        <w:rPr>
          <w:sz w:val="24"/>
          <w:szCs w:val="24"/>
        </w:rPr>
      </w:pPr>
      <w:r w:rsidRPr="005F5E04">
        <w:rPr>
          <w:sz w:val="24"/>
          <w:szCs w:val="24"/>
        </w:rPr>
        <w:t xml:space="preserve">Payment of say an annual membership fee or the giving in the normal course of events of small donations and not linked to a particular live campaigning issue of potential or actual political relevance, should not be such as to require declaration of this to the Commission. However </w:t>
      </w:r>
      <w:r>
        <w:rPr>
          <w:sz w:val="24"/>
          <w:szCs w:val="24"/>
        </w:rPr>
        <w:t>more active involvement</w:t>
      </w:r>
      <w:r w:rsidR="00D74517">
        <w:rPr>
          <w:sz w:val="24"/>
          <w:szCs w:val="24"/>
        </w:rPr>
        <w:t xml:space="preserve"> in a third party </w:t>
      </w:r>
      <w:r>
        <w:rPr>
          <w:sz w:val="24"/>
          <w:szCs w:val="24"/>
        </w:rPr>
        <w:t xml:space="preserve">such as </w:t>
      </w:r>
      <w:r w:rsidRPr="005F5E04">
        <w:rPr>
          <w:sz w:val="24"/>
          <w:szCs w:val="24"/>
        </w:rPr>
        <w:t>volunteering, provision of advice/assistance generally, f</w:t>
      </w:r>
      <w:r>
        <w:rPr>
          <w:sz w:val="24"/>
          <w:szCs w:val="24"/>
        </w:rPr>
        <w:t>undraising activities and so on, would all be indicators of it being prudent to declare an interest to the Commission.</w:t>
      </w:r>
      <w:r w:rsidRPr="005F5E04">
        <w:rPr>
          <w:sz w:val="24"/>
          <w:szCs w:val="24"/>
        </w:rPr>
        <w:t xml:space="preserve"> </w:t>
      </w:r>
      <w:r>
        <w:rPr>
          <w:sz w:val="24"/>
          <w:szCs w:val="24"/>
        </w:rPr>
        <w:t xml:space="preserve">Making </w:t>
      </w:r>
      <w:r w:rsidRPr="005F5E04">
        <w:rPr>
          <w:sz w:val="24"/>
          <w:szCs w:val="24"/>
        </w:rPr>
        <w:t>significant personal donation</w:t>
      </w:r>
      <w:r>
        <w:rPr>
          <w:sz w:val="24"/>
          <w:szCs w:val="24"/>
        </w:rPr>
        <w:t>s would clearly lead to the need to</w:t>
      </w:r>
      <w:r w:rsidR="00D74517">
        <w:rPr>
          <w:sz w:val="24"/>
          <w:szCs w:val="24"/>
        </w:rPr>
        <w:t xml:space="preserve"> declare an interest (e.g.</w:t>
      </w:r>
      <w:r w:rsidRPr="005F5E04">
        <w:rPr>
          <w:sz w:val="24"/>
          <w:szCs w:val="24"/>
        </w:rPr>
        <w:t xml:space="preserve"> above £1,000 in a year)</w:t>
      </w:r>
      <w:r w:rsidR="00D74517">
        <w:rPr>
          <w:sz w:val="24"/>
          <w:szCs w:val="24"/>
        </w:rPr>
        <w:t>.</w:t>
      </w:r>
    </w:p>
    <w:p w14:paraId="77C2ADA5" w14:textId="77777777" w:rsidR="005F5E04" w:rsidRPr="005F5E04" w:rsidRDefault="005F5E04" w:rsidP="00C9625D">
      <w:pPr>
        <w:pStyle w:val="ListParagraph"/>
        <w:ind w:left="0" w:firstLine="14"/>
        <w:rPr>
          <w:sz w:val="24"/>
          <w:szCs w:val="24"/>
        </w:rPr>
      </w:pPr>
    </w:p>
    <w:p w14:paraId="028C9685" w14:textId="77777777" w:rsidR="000C67BD" w:rsidRDefault="009F0D32" w:rsidP="00C9625D">
      <w:pPr>
        <w:pStyle w:val="ListParagraph"/>
        <w:numPr>
          <w:ilvl w:val="0"/>
          <w:numId w:val="10"/>
        </w:numPr>
        <w:ind w:left="0" w:firstLine="14"/>
        <w:rPr>
          <w:sz w:val="24"/>
          <w:szCs w:val="24"/>
        </w:rPr>
      </w:pPr>
      <w:r>
        <w:rPr>
          <w:sz w:val="24"/>
          <w:szCs w:val="24"/>
        </w:rPr>
        <w:t>I</w:t>
      </w:r>
      <w:r w:rsidR="00DE7498" w:rsidRPr="000C67BD">
        <w:rPr>
          <w:sz w:val="24"/>
          <w:szCs w:val="24"/>
        </w:rPr>
        <w:t xml:space="preserve">f a third party could reasonably be expected to campaign on issues in the lead up to </w:t>
      </w:r>
      <w:r w:rsidR="008D228E">
        <w:rPr>
          <w:sz w:val="24"/>
          <w:szCs w:val="24"/>
        </w:rPr>
        <w:t xml:space="preserve">PPERA regulated </w:t>
      </w:r>
      <w:r w:rsidR="00DE7498" w:rsidRPr="000C67BD">
        <w:rPr>
          <w:sz w:val="24"/>
          <w:szCs w:val="24"/>
        </w:rPr>
        <w:t xml:space="preserve">elections, this </w:t>
      </w:r>
      <w:r>
        <w:rPr>
          <w:sz w:val="24"/>
          <w:szCs w:val="24"/>
        </w:rPr>
        <w:t xml:space="preserve">is very likely to </w:t>
      </w:r>
      <w:r w:rsidR="00DE7498" w:rsidRPr="000C67BD">
        <w:rPr>
          <w:sz w:val="24"/>
          <w:szCs w:val="24"/>
        </w:rPr>
        <w:t xml:space="preserve">give rise to the need to declare an </w:t>
      </w:r>
      <w:r>
        <w:rPr>
          <w:sz w:val="24"/>
          <w:szCs w:val="24"/>
        </w:rPr>
        <w:t xml:space="preserve">interest to the Commission and </w:t>
      </w:r>
      <w:r w:rsidR="00DE7498" w:rsidRPr="000C67BD">
        <w:rPr>
          <w:sz w:val="24"/>
          <w:szCs w:val="24"/>
        </w:rPr>
        <w:t>possibly - depending on the facts - a conflict of interest.</w:t>
      </w:r>
    </w:p>
    <w:p w14:paraId="66771E4B" w14:textId="77777777" w:rsidR="000C67BD" w:rsidRPr="000C67BD" w:rsidRDefault="000C67BD" w:rsidP="00C9625D">
      <w:pPr>
        <w:pStyle w:val="ListParagraph"/>
        <w:ind w:left="0" w:firstLine="14"/>
        <w:rPr>
          <w:sz w:val="24"/>
          <w:szCs w:val="24"/>
        </w:rPr>
      </w:pPr>
    </w:p>
    <w:p w14:paraId="02D20303" w14:textId="77777777" w:rsidR="000C67BD" w:rsidRDefault="009F0D32" w:rsidP="00C9625D">
      <w:pPr>
        <w:pStyle w:val="ListParagraph"/>
        <w:numPr>
          <w:ilvl w:val="0"/>
          <w:numId w:val="10"/>
        </w:numPr>
        <w:ind w:left="0" w:firstLine="14"/>
        <w:rPr>
          <w:sz w:val="24"/>
          <w:szCs w:val="24"/>
        </w:rPr>
      </w:pPr>
      <w:r w:rsidRPr="000C67BD">
        <w:rPr>
          <w:sz w:val="24"/>
          <w:szCs w:val="24"/>
        </w:rPr>
        <w:t>In the event of a conflict of interest, the Commissioner must withdraw from participating in or influencing any related Commission business.</w:t>
      </w:r>
    </w:p>
    <w:p w14:paraId="4DCA3373" w14:textId="77777777" w:rsidR="000C67BD" w:rsidRPr="000C67BD" w:rsidRDefault="000C67BD" w:rsidP="00C9625D">
      <w:pPr>
        <w:pStyle w:val="ListParagraph"/>
        <w:ind w:left="0" w:firstLine="14"/>
        <w:rPr>
          <w:sz w:val="24"/>
          <w:szCs w:val="24"/>
        </w:rPr>
      </w:pPr>
    </w:p>
    <w:p w14:paraId="6124A6CF" w14:textId="77777777" w:rsidR="00DE7498" w:rsidRDefault="009F0D32" w:rsidP="00C9625D">
      <w:pPr>
        <w:pStyle w:val="ListParagraph"/>
        <w:numPr>
          <w:ilvl w:val="0"/>
          <w:numId w:val="10"/>
        </w:numPr>
        <w:ind w:left="0" w:firstLine="14"/>
        <w:rPr>
          <w:sz w:val="24"/>
          <w:szCs w:val="24"/>
        </w:rPr>
      </w:pPr>
      <w:r w:rsidRPr="000C67BD">
        <w:rPr>
          <w:sz w:val="24"/>
          <w:szCs w:val="24"/>
        </w:rPr>
        <w:t>Commissioners should also consider the relev</w:t>
      </w:r>
      <w:r w:rsidR="00C37464">
        <w:rPr>
          <w:sz w:val="24"/>
          <w:szCs w:val="24"/>
        </w:rPr>
        <w:t>ance of the above requirements i</w:t>
      </w:r>
      <w:r w:rsidRPr="000C67BD">
        <w:rPr>
          <w:sz w:val="24"/>
          <w:szCs w:val="24"/>
        </w:rPr>
        <w:t xml:space="preserve">f a close </w:t>
      </w:r>
      <w:r w:rsidRPr="000C67BD">
        <w:rPr>
          <w:sz w:val="24"/>
          <w:szCs w:val="24"/>
        </w:rPr>
        <w:t>family member or associate is making donations to or closely involved with a campaigning third party.</w:t>
      </w:r>
    </w:p>
    <w:p w14:paraId="5620307C" w14:textId="77777777" w:rsidR="00C3095E" w:rsidRPr="008E5F90" w:rsidRDefault="00C3095E" w:rsidP="00C9625D">
      <w:pPr>
        <w:pStyle w:val="ListParagraph"/>
        <w:ind w:left="0" w:firstLine="14"/>
        <w:rPr>
          <w:sz w:val="24"/>
          <w:szCs w:val="24"/>
        </w:rPr>
      </w:pPr>
    </w:p>
    <w:p w14:paraId="2BF0E45B" w14:textId="77777777" w:rsidR="00C3095E" w:rsidRPr="008E5F90" w:rsidRDefault="009F0D32" w:rsidP="00C9625D">
      <w:pPr>
        <w:pStyle w:val="ListParagraph"/>
        <w:numPr>
          <w:ilvl w:val="0"/>
          <w:numId w:val="10"/>
        </w:numPr>
        <w:ind w:left="0" w:firstLine="14"/>
        <w:rPr>
          <w:sz w:val="24"/>
          <w:szCs w:val="24"/>
        </w:rPr>
      </w:pPr>
      <w:r w:rsidRPr="008E5F90">
        <w:rPr>
          <w:sz w:val="24"/>
          <w:szCs w:val="24"/>
        </w:rPr>
        <w:lastRenderedPageBreak/>
        <w:t xml:space="preserve"> The guiding principle for Commissioners is to err on the side of caution. That is, </w:t>
      </w:r>
      <w:r w:rsidR="00F92318" w:rsidRPr="008E5F90">
        <w:rPr>
          <w:sz w:val="24"/>
          <w:szCs w:val="24"/>
        </w:rPr>
        <w:t>if it appears that you could need to declare to the Commission that you have made a donation to, or are involved in</w:t>
      </w:r>
      <w:r w:rsidR="00243CF5" w:rsidRPr="008E5F90">
        <w:rPr>
          <w:sz w:val="24"/>
          <w:szCs w:val="24"/>
        </w:rPr>
        <w:t>,</w:t>
      </w:r>
      <w:r w:rsidR="00F92318" w:rsidRPr="008E5F90">
        <w:rPr>
          <w:sz w:val="24"/>
          <w:szCs w:val="24"/>
        </w:rPr>
        <w:t xml:space="preserve"> the activities of</w:t>
      </w:r>
      <w:r w:rsidR="00612665" w:rsidRPr="008E5F90">
        <w:rPr>
          <w:sz w:val="24"/>
          <w:szCs w:val="24"/>
        </w:rPr>
        <w:t xml:space="preserve"> </w:t>
      </w:r>
      <w:r w:rsidR="00F92318" w:rsidRPr="008E5F90">
        <w:rPr>
          <w:sz w:val="24"/>
          <w:szCs w:val="24"/>
        </w:rPr>
        <w:t>a third party, it is best</w:t>
      </w:r>
      <w:r w:rsidRPr="008E5F90">
        <w:rPr>
          <w:sz w:val="24"/>
          <w:szCs w:val="24"/>
        </w:rPr>
        <w:t xml:space="preserve"> to </w:t>
      </w:r>
      <w:r w:rsidR="00F92318" w:rsidRPr="008E5F90">
        <w:rPr>
          <w:sz w:val="24"/>
          <w:szCs w:val="24"/>
        </w:rPr>
        <w:t xml:space="preserve">do so. This will </w:t>
      </w:r>
      <w:r w:rsidRPr="008E5F90">
        <w:rPr>
          <w:sz w:val="24"/>
          <w:szCs w:val="24"/>
        </w:rPr>
        <w:t xml:space="preserve">place yourself and the Commission beyond reproach. </w:t>
      </w:r>
    </w:p>
    <w:p w14:paraId="537552B2" w14:textId="77777777" w:rsidR="00C9625D" w:rsidRDefault="00C9625D" w:rsidP="00C9625D">
      <w:pPr>
        <w:rPr>
          <w:sz w:val="28"/>
          <w:szCs w:val="28"/>
        </w:rPr>
      </w:pPr>
    </w:p>
    <w:p w14:paraId="56F2561F" w14:textId="77777777" w:rsidR="00EB41B6" w:rsidRPr="00C36CCD" w:rsidRDefault="009F0D32" w:rsidP="00C9625D">
      <w:pPr>
        <w:rPr>
          <w:sz w:val="28"/>
          <w:szCs w:val="28"/>
        </w:rPr>
      </w:pPr>
      <w:r w:rsidRPr="00C36CCD">
        <w:rPr>
          <w:sz w:val="28"/>
          <w:szCs w:val="28"/>
        </w:rPr>
        <w:t>F</w:t>
      </w:r>
      <w:r w:rsidR="00F92318" w:rsidRPr="00C36CCD">
        <w:rPr>
          <w:sz w:val="28"/>
          <w:szCs w:val="28"/>
        </w:rPr>
        <w:t>requently asked questions</w:t>
      </w:r>
      <w:r w:rsidR="00C9625D">
        <w:rPr>
          <w:sz w:val="28"/>
          <w:szCs w:val="28"/>
        </w:rPr>
        <w:t xml:space="preserve"> – declaring an interest and conflict</w:t>
      </w:r>
    </w:p>
    <w:p w14:paraId="29DECCD6" w14:textId="77777777" w:rsidR="00201802" w:rsidRPr="00C36CCD" w:rsidRDefault="009F0D32" w:rsidP="00C9625D">
      <w:pPr>
        <w:ind w:left="719" w:hanging="705"/>
        <w:rPr>
          <w:sz w:val="24"/>
          <w:szCs w:val="24"/>
        </w:rPr>
      </w:pPr>
      <w:r w:rsidRPr="00C36CCD">
        <w:rPr>
          <w:sz w:val="24"/>
          <w:szCs w:val="24"/>
        </w:rPr>
        <w:t>Q.1</w:t>
      </w:r>
      <w:r w:rsidRPr="00C36CCD">
        <w:rPr>
          <w:sz w:val="24"/>
          <w:szCs w:val="24"/>
        </w:rPr>
        <w:tab/>
      </w:r>
      <w:r w:rsidR="00EB41B6" w:rsidRPr="00C9625D">
        <w:rPr>
          <w:b/>
          <w:sz w:val="24"/>
          <w:szCs w:val="24"/>
        </w:rPr>
        <w:t xml:space="preserve">I have made a donation of over £1,000 to a </w:t>
      </w:r>
      <w:r w:rsidR="00F92318" w:rsidRPr="00C9625D">
        <w:rPr>
          <w:b/>
          <w:sz w:val="24"/>
          <w:szCs w:val="24"/>
        </w:rPr>
        <w:t xml:space="preserve">third party organisation that I support </w:t>
      </w:r>
      <w:r w:rsidRPr="00C9625D">
        <w:rPr>
          <w:b/>
          <w:sz w:val="24"/>
          <w:szCs w:val="24"/>
        </w:rPr>
        <w:t xml:space="preserve">e.g. a </w:t>
      </w:r>
      <w:r w:rsidR="00EB41B6" w:rsidRPr="00C9625D">
        <w:rPr>
          <w:b/>
          <w:sz w:val="24"/>
          <w:szCs w:val="24"/>
        </w:rPr>
        <w:t>charit</w:t>
      </w:r>
      <w:r w:rsidRPr="00C9625D">
        <w:rPr>
          <w:b/>
          <w:sz w:val="24"/>
          <w:szCs w:val="24"/>
        </w:rPr>
        <w:t>y</w:t>
      </w:r>
      <w:r w:rsidR="00F92318" w:rsidRPr="00C9625D">
        <w:rPr>
          <w:b/>
          <w:sz w:val="24"/>
          <w:szCs w:val="24"/>
        </w:rPr>
        <w:t>, a faith group</w:t>
      </w:r>
      <w:r w:rsidR="004E1581" w:rsidRPr="00C9625D">
        <w:rPr>
          <w:b/>
          <w:sz w:val="24"/>
          <w:szCs w:val="24"/>
        </w:rPr>
        <w:t>,</w:t>
      </w:r>
      <w:r w:rsidR="00F92318" w:rsidRPr="00C9625D">
        <w:rPr>
          <w:b/>
          <w:sz w:val="24"/>
          <w:szCs w:val="24"/>
        </w:rPr>
        <w:t xml:space="preserve"> a trade union</w:t>
      </w:r>
      <w:r w:rsidR="004E1581" w:rsidRPr="00C9625D">
        <w:rPr>
          <w:b/>
          <w:sz w:val="24"/>
          <w:szCs w:val="24"/>
        </w:rPr>
        <w:t xml:space="preserve"> or a trade association</w:t>
      </w:r>
      <w:r w:rsidRPr="00C9625D">
        <w:rPr>
          <w:b/>
          <w:sz w:val="24"/>
          <w:szCs w:val="24"/>
        </w:rPr>
        <w:t>. Do I need to inform the Commission that I have done this?</w:t>
      </w:r>
      <w:r w:rsidRPr="00C36CCD">
        <w:rPr>
          <w:sz w:val="24"/>
          <w:szCs w:val="24"/>
        </w:rPr>
        <w:t xml:space="preserve"> </w:t>
      </w:r>
    </w:p>
    <w:p w14:paraId="636504F5" w14:textId="77777777" w:rsidR="00612665" w:rsidRPr="00C36CCD" w:rsidRDefault="009F0D32" w:rsidP="00C9625D">
      <w:pPr>
        <w:ind w:left="719" w:hanging="691"/>
        <w:rPr>
          <w:sz w:val="24"/>
          <w:szCs w:val="24"/>
        </w:rPr>
      </w:pPr>
      <w:r w:rsidRPr="00C36CCD">
        <w:rPr>
          <w:sz w:val="24"/>
          <w:szCs w:val="24"/>
        </w:rPr>
        <w:t xml:space="preserve">A. </w:t>
      </w:r>
      <w:r w:rsidRPr="00C36CCD">
        <w:rPr>
          <w:sz w:val="24"/>
          <w:szCs w:val="24"/>
        </w:rPr>
        <w:tab/>
        <w:t>Yes,</w:t>
      </w:r>
      <w:r w:rsidR="00201802" w:rsidRPr="00C36CCD">
        <w:rPr>
          <w:sz w:val="24"/>
          <w:szCs w:val="24"/>
        </w:rPr>
        <w:t xml:space="preserve"> if the donation is over </w:t>
      </w:r>
      <w:r w:rsidR="00EB41B6" w:rsidRPr="00C36CCD">
        <w:rPr>
          <w:sz w:val="24"/>
          <w:szCs w:val="24"/>
        </w:rPr>
        <w:t>£1,000 (including cumulative effect of smaller</w:t>
      </w:r>
      <w:r w:rsidR="00201802" w:rsidRPr="00C36CCD">
        <w:rPr>
          <w:sz w:val="24"/>
          <w:szCs w:val="24"/>
        </w:rPr>
        <w:t xml:space="preserve"> donations in a 12 month period). </w:t>
      </w:r>
      <w:r w:rsidR="00243CF5" w:rsidRPr="00C36CCD">
        <w:rPr>
          <w:sz w:val="24"/>
          <w:szCs w:val="24"/>
        </w:rPr>
        <w:t>Make the declaration regardless of the organisation to which you’ve made the donation.</w:t>
      </w:r>
    </w:p>
    <w:p w14:paraId="357C1554" w14:textId="77777777" w:rsidR="00C3095E" w:rsidRPr="00C36CCD" w:rsidRDefault="009F0D32" w:rsidP="00C9625D">
      <w:pPr>
        <w:ind w:left="28" w:hanging="14"/>
        <w:rPr>
          <w:sz w:val="24"/>
          <w:szCs w:val="24"/>
        </w:rPr>
      </w:pPr>
      <w:r w:rsidRPr="00C36CCD">
        <w:rPr>
          <w:sz w:val="24"/>
          <w:szCs w:val="24"/>
        </w:rPr>
        <w:t xml:space="preserve"> Q.2</w:t>
      </w:r>
      <w:r w:rsidRPr="00C36CCD">
        <w:rPr>
          <w:sz w:val="24"/>
          <w:szCs w:val="24"/>
        </w:rPr>
        <w:tab/>
      </w:r>
      <w:r w:rsidRPr="00C9625D">
        <w:rPr>
          <w:b/>
          <w:sz w:val="24"/>
          <w:szCs w:val="24"/>
        </w:rPr>
        <w:t xml:space="preserve">What about the need to declare </w:t>
      </w:r>
      <w:r w:rsidR="00F92318" w:rsidRPr="00C9625D">
        <w:rPr>
          <w:b/>
          <w:sz w:val="24"/>
          <w:szCs w:val="24"/>
        </w:rPr>
        <w:t xml:space="preserve">a </w:t>
      </w:r>
      <w:r w:rsidRPr="00C9625D">
        <w:rPr>
          <w:b/>
          <w:sz w:val="24"/>
          <w:szCs w:val="24"/>
        </w:rPr>
        <w:t>donation of less than £1,000?</w:t>
      </w:r>
    </w:p>
    <w:p w14:paraId="744B07B0" w14:textId="77777777" w:rsidR="00201802" w:rsidRPr="00C36CCD" w:rsidRDefault="009F0D32" w:rsidP="00C9625D">
      <w:pPr>
        <w:ind w:left="719" w:hanging="705"/>
        <w:rPr>
          <w:sz w:val="24"/>
          <w:szCs w:val="24"/>
        </w:rPr>
      </w:pPr>
      <w:r w:rsidRPr="00C36CCD">
        <w:rPr>
          <w:sz w:val="24"/>
          <w:szCs w:val="24"/>
        </w:rPr>
        <w:t>A</w:t>
      </w:r>
      <w:r w:rsidR="00612665" w:rsidRPr="00C36CCD">
        <w:rPr>
          <w:sz w:val="24"/>
          <w:szCs w:val="24"/>
        </w:rPr>
        <w:t>.</w:t>
      </w:r>
      <w:r w:rsidRPr="00C36CCD">
        <w:rPr>
          <w:sz w:val="24"/>
          <w:szCs w:val="24"/>
        </w:rPr>
        <w:t xml:space="preserve"> </w:t>
      </w:r>
      <w:r w:rsidR="00612665" w:rsidRPr="00C36CCD">
        <w:rPr>
          <w:sz w:val="24"/>
          <w:szCs w:val="24"/>
        </w:rPr>
        <w:tab/>
      </w:r>
      <w:r w:rsidRPr="00C36CCD">
        <w:rPr>
          <w:sz w:val="24"/>
          <w:szCs w:val="24"/>
        </w:rPr>
        <w:t>If the donation is less than £1,000 you still need to consider whether to inform the Commissi</w:t>
      </w:r>
      <w:r w:rsidR="0034738D" w:rsidRPr="00C36CCD">
        <w:rPr>
          <w:sz w:val="24"/>
          <w:szCs w:val="24"/>
        </w:rPr>
        <w:t>on</w:t>
      </w:r>
      <w:r w:rsidRPr="00C36CCD">
        <w:rPr>
          <w:sz w:val="24"/>
          <w:szCs w:val="24"/>
        </w:rPr>
        <w:t xml:space="preserve">. You may well be inclined to err on the side of caution and declare the donation to the Commission. </w:t>
      </w:r>
      <w:r w:rsidR="0034738D" w:rsidRPr="00C36CCD">
        <w:rPr>
          <w:sz w:val="24"/>
          <w:szCs w:val="24"/>
        </w:rPr>
        <w:t xml:space="preserve">Consideration would include whether you are directly involved in the activities of the organisation; and </w:t>
      </w:r>
      <w:r w:rsidRPr="00C36CCD">
        <w:rPr>
          <w:sz w:val="24"/>
          <w:szCs w:val="24"/>
        </w:rPr>
        <w:t>whether the receiving organisation or individual is or is likely to be involved in live campaigning on issues of potentia</w:t>
      </w:r>
      <w:r w:rsidR="0034738D" w:rsidRPr="00C36CCD">
        <w:rPr>
          <w:sz w:val="24"/>
          <w:szCs w:val="24"/>
        </w:rPr>
        <w:t xml:space="preserve">l or actual political relevance, </w:t>
      </w:r>
    </w:p>
    <w:p w14:paraId="7D72D269" w14:textId="77777777" w:rsidR="00C3095E" w:rsidRPr="00C9625D" w:rsidRDefault="009F0D32" w:rsidP="00C9625D">
      <w:pPr>
        <w:ind w:left="719" w:hanging="705"/>
        <w:rPr>
          <w:b/>
          <w:sz w:val="24"/>
          <w:szCs w:val="24"/>
        </w:rPr>
      </w:pPr>
      <w:r w:rsidRPr="00C36CCD">
        <w:rPr>
          <w:sz w:val="24"/>
          <w:szCs w:val="24"/>
        </w:rPr>
        <w:t>Q</w:t>
      </w:r>
      <w:r w:rsidR="00612665" w:rsidRPr="00C36CCD">
        <w:rPr>
          <w:sz w:val="24"/>
          <w:szCs w:val="24"/>
        </w:rPr>
        <w:t>3</w:t>
      </w:r>
      <w:r w:rsidRPr="00C36CCD">
        <w:rPr>
          <w:sz w:val="24"/>
          <w:szCs w:val="24"/>
        </w:rPr>
        <w:t xml:space="preserve">. </w:t>
      </w:r>
      <w:r w:rsidR="00612665" w:rsidRPr="00C36CCD">
        <w:rPr>
          <w:sz w:val="24"/>
          <w:szCs w:val="24"/>
        </w:rPr>
        <w:tab/>
      </w:r>
      <w:r w:rsidRPr="00C9625D">
        <w:rPr>
          <w:b/>
          <w:sz w:val="24"/>
          <w:szCs w:val="24"/>
        </w:rPr>
        <w:t xml:space="preserve">What if I have made a donation in kind, rather than money e.g. giving advice or my time </w:t>
      </w:r>
      <w:r w:rsidR="00243CF5" w:rsidRPr="00C9625D">
        <w:rPr>
          <w:b/>
          <w:sz w:val="24"/>
          <w:szCs w:val="24"/>
        </w:rPr>
        <w:t xml:space="preserve">in </w:t>
      </w:r>
      <w:r w:rsidRPr="00C9625D">
        <w:rPr>
          <w:b/>
          <w:sz w:val="24"/>
          <w:szCs w:val="24"/>
        </w:rPr>
        <w:t>voluntary activity?</w:t>
      </w:r>
    </w:p>
    <w:p w14:paraId="38FF0081" w14:textId="77777777" w:rsidR="00EB41B6" w:rsidRPr="00C36CCD" w:rsidRDefault="009F0D32" w:rsidP="00C9625D">
      <w:pPr>
        <w:ind w:left="28" w:hanging="14"/>
        <w:rPr>
          <w:sz w:val="24"/>
          <w:szCs w:val="24"/>
        </w:rPr>
      </w:pPr>
      <w:r w:rsidRPr="00C36CCD">
        <w:rPr>
          <w:sz w:val="24"/>
          <w:szCs w:val="24"/>
        </w:rPr>
        <w:t xml:space="preserve">A. </w:t>
      </w:r>
      <w:r w:rsidR="00612665" w:rsidRPr="00C36CCD">
        <w:rPr>
          <w:sz w:val="24"/>
          <w:szCs w:val="24"/>
        </w:rPr>
        <w:tab/>
      </w:r>
      <w:r w:rsidRPr="00C36CCD">
        <w:rPr>
          <w:sz w:val="24"/>
          <w:szCs w:val="24"/>
        </w:rPr>
        <w:t xml:space="preserve">The same rules apply </w:t>
      </w:r>
      <w:r w:rsidR="00243CF5" w:rsidRPr="00C36CCD">
        <w:rPr>
          <w:sz w:val="24"/>
          <w:szCs w:val="24"/>
        </w:rPr>
        <w:t xml:space="preserve">as in question 2, </w:t>
      </w:r>
      <w:r w:rsidRPr="00C36CCD">
        <w:rPr>
          <w:sz w:val="24"/>
          <w:szCs w:val="24"/>
        </w:rPr>
        <w:t xml:space="preserve">as </w:t>
      </w:r>
      <w:r w:rsidR="00F92318" w:rsidRPr="00C36CCD">
        <w:rPr>
          <w:sz w:val="24"/>
          <w:szCs w:val="24"/>
        </w:rPr>
        <w:t xml:space="preserve">if you </w:t>
      </w:r>
      <w:r w:rsidRPr="00C36CCD">
        <w:rPr>
          <w:sz w:val="24"/>
          <w:szCs w:val="24"/>
        </w:rPr>
        <w:t>had donate</w:t>
      </w:r>
      <w:r w:rsidR="00417C08" w:rsidRPr="00C36CCD">
        <w:rPr>
          <w:sz w:val="24"/>
          <w:szCs w:val="24"/>
        </w:rPr>
        <w:t>d</w:t>
      </w:r>
      <w:r w:rsidRPr="00C36CCD">
        <w:rPr>
          <w:sz w:val="24"/>
          <w:szCs w:val="24"/>
        </w:rPr>
        <w:t xml:space="preserve"> money. </w:t>
      </w:r>
    </w:p>
    <w:p w14:paraId="29C3202B" w14:textId="77777777" w:rsidR="00612665" w:rsidRPr="00C36CCD" w:rsidRDefault="009F0D32" w:rsidP="00C9625D">
      <w:pPr>
        <w:ind w:left="719" w:hanging="705"/>
        <w:rPr>
          <w:sz w:val="24"/>
          <w:szCs w:val="24"/>
        </w:rPr>
      </w:pPr>
      <w:r w:rsidRPr="00C36CCD">
        <w:rPr>
          <w:sz w:val="24"/>
          <w:szCs w:val="24"/>
        </w:rPr>
        <w:t xml:space="preserve">Q4. </w:t>
      </w:r>
      <w:r w:rsidRPr="00C36CCD">
        <w:rPr>
          <w:sz w:val="24"/>
          <w:szCs w:val="24"/>
        </w:rPr>
        <w:tab/>
      </w:r>
      <w:r w:rsidRPr="00C9625D">
        <w:rPr>
          <w:b/>
          <w:sz w:val="24"/>
          <w:szCs w:val="24"/>
        </w:rPr>
        <w:t>I am a member or friend of a third party organisation e.g. the National Trust. Do I need to declare this?</w:t>
      </w:r>
      <w:r w:rsidRPr="00C36CCD">
        <w:rPr>
          <w:sz w:val="24"/>
          <w:szCs w:val="24"/>
        </w:rPr>
        <w:t xml:space="preserve"> </w:t>
      </w:r>
    </w:p>
    <w:p w14:paraId="3DB5DA27" w14:textId="77777777" w:rsidR="001634FF" w:rsidRDefault="009F0D32" w:rsidP="00C9625D">
      <w:pPr>
        <w:ind w:left="719" w:hanging="705"/>
        <w:rPr>
          <w:sz w:val="24"/>
          <w:szCs w:val="24"/>
        </w:rPr>
      </w:pPr>
      <w:r w:rsidRPr="00C36CCD">
        <w:rPr>
          <w:sz w:val="24"/>
          <w:szCs w:val="24"/>
        </w:rPr>
        <w:t>A.</w:t>
      </w:r>
      <w:r w:rsidRPr="00C36CCD">
        <w:t xml:space="preserve"> </w:t>
      </w:r>
      <w:r w:rsidRPr="00C36CCD">
        <w:tab/>
      </w:r>
      <w:r w:rsidR="00417C08" w:rsidRPr="00C36CCD">
        <w:rPr>
          <w:sz w:val="24"/>
          <w:szCs w:val="24"/>
        </w:rPr>
        <w:t>In the normal course of events, no</w:t>
      </w:r>
      <w:r w:rsidR="00243CF5" w:rsidRPr="00C36CCD">
        <w:rPr>
          <w:sz w:val="24"/>
          <w:szCs w:val="24"/>
        </w:rPr>
        <w:t>,</w:t>
      </w:r>
      <w:r w:rsidR="00417C08" w:rsidRPr="00C36CCD">
        <w:rPr>
          <w:sz w:val="24"/>
          <w:szCs w:val="24"/>
        </w:rPr>
        <w:t xml:space="preserve"> you do not have to declare this. </w:t>
      </w:r>
      <w:r w:rsidRPr="00C36CCD">
        <w:rPr>
          <w:sz w:val="24"/>
          <w:szCs w:val="24"/>
        </w:rPr>
        <w:t xml:space="preserve">  </w:t>
      </w:r>
      <w:r w:rsidR="00417C08" w:rsidRPr="00C36CCD">
        <w:rPr>
          <w:sz w:val="24"/>
          <w:szCs w:val="24"/>
        </w:rPr>
        <w:t xml:space="preserve">However, if such an organisation </w:t>
      </w:r>
      <w:r w:rsidR="00243CF5" w:rsidRPr="00C36CCD">
        <w:rPr>
          <w:sz w:val="24"/>
          <w:szCs w:val="24"/>
        </w:rPr>
        <w:t xml:space="preserve">were involved </w:t>
      </w:r>
      <w:r w:rsidR="00417C08" w:rsidRPr="00C36CCD">
        <w:rPr>
          <w:sz w:val="24"/>
          <w:szCs w:val="24"/>
        </w:rPr>
        <w:t>or</w:t>
      </w:r>
      <w:r w:rsidR="00243CF5" w:rsidRPr="00C36CCD">
        <w:rPr>
          <w:sz w:val="24"/>
          <w:szCs w:val="24"/>
        </w:rPr>
        <w:t xml:space="preserve"> subsequently</w:t>
      </w:r>
      <w:r w:rsidR="00417C08" w:rsidRPr="00C36CCD">
        <w:rPr>
          <w:sz w:val="24"/>
          <w:szCs w:val="24"/>
        </w:rPr>
        <w:t xml:space="preserve"> became involved in live campaigning on issue(s) of potential or actual political relevance you </w:t>
      </w:r>
      <w:r w:rsidR="00243CF5" w:rsidRPr="00C36CCD">
        <w:rPr>
          <w:sz w:val="24"/>
          <w:szCs w:val="24"/>
        </w:rPr>
        <w:t xml:space="preserve">should </w:t>
      </w:r>
      <w:r w:rsidR="00417C08" w:rsidRPr="00C36CCD">
        <w:rPr>
          <w:sz w:val="24"/>
          <w:szCs w:val="24"/>
        </w:rPr>
        <w:t>do so.</w:t>
      </w:r>
    </w:p>
    <w:p w14:paraId="047EDD6B" w14:textId="77777777" w:rsidR="00C36CCD" w:rsidRDefault="009F0D32" w:rsidP="00C9625D">
      <w:pPr>
        <w:ind w:left="719" w:hanging="705"/>
        <w:rPr>
          <w:sz w:val="24"/>
          <w:szCs w:val="24"/>
        </w:rPr>
      </w:pPr>
      <w:r>
        <w:rPr>
          <w:sz w:val="24"/>
          <w:szCs w:val="24"/>
        </w:rPr>
        <w:t>Q5.</w:t>
      </w:r>
      <w:r>
        <w:rPr>
          <w:sz w:val="24"/>
          <w:szCs w:val="24"/>
        </w:rPr>
        <w:tab/>
      </w:r>
      <w:r w:rsidR="00C9625D">
        <w:rPr>
          <w:b/>
          <w:sz w:val="24"/>
          <w:szCs w:val="24"/>
        </w:rPr>
        <w:t>I’m involved with/</w:t>
      </w:r>
      <w:r w:rsidR="00A85486" w:rsidRPr="00C9625D">
        <w:rPr>
          <w:b/>
          <w:sz w:val="24"/>
          <w:szCs w:val="24"/>
        </w:rPr>
        <w:t xml:space="preserve">have donated to </w:t>
      </w:r>
      <w:r w:rsidRPr="00C9625D">
        <w:rPr>
          <w:b/>
          <w:sz w:val="24"/>
          <w:szCs w:val="24"/>
        </w:rPr>
        <w:t>a</w:t>
      </w:r>
      <w:r w:rsidR="00A85486" w:rsidRPr="00C9625D">
        <w:rPr>
          <w:b/>
          <w:sz w:val="24"/>
          <w:szCs w:val="24"/>
        </w:rPr>
        <w:t>n</w:t>
      </w:r>
      <w:r w:rsidRPr="00C9625D">
        <w:rPr>
          <w:b/>
          <w:sz w:val="24"/>
          <w:szCs w:val="24"/>
        </w:rPr>
        <w:t xml:space="preserve"> organisation </w:t>
      </w:r>
      <w:r w:rsidR="00A85486" w:rsidRPr="00C9625D">
        <w:rPr>
          <w:b/>
          <w:sz w:val="24"/>
          <w:szCs w:val="24"/>
        </w:rPr>
        <w:t xml:space="preserve">that </w:t>
      </w:r>
      <w:r w:rsidR="00E35E4B" w:rsidRPr="00C9625D">
        <w:rPr>
          <w:b/>
          <w:sz w:val="24"/>
          <w:szCs w:val="24"/>
        </w:rPr>
        <w:t>is campaigning, but I doubt at l</w:t>
      </w:r>
      <w:r w:rsidRPr="00C9625D">
        <w:rPr>
          <w:b/>
          <w:sz w:val="24"/>
          <w:szCs w:val="24"/>
        </w:rPr>
        <w:t xml:space="preserve">evels </w:t>
      </w:r>
      <w:r w:rsidR="00A85486" w:rsidRPr="00C9625D">
        <w:rPr>
          <w:b/>
          <w:sz w:val="24"/>
          <w:szCs w:val="24"/>
        </w:rPr>
        <w:t xml:space="preserve">that would require it to </w:t>
      </w:r>
      <w:r w:rsidRPr="00C9625D">
        <w:rPr>
          <w:b/>
          <w:sz w:val="24"/>
          <w:szCs w:val="24"/>
        </w:rPr>
        <w:t>register with the Commission as a third party – should I declare my involvement?</w:t>
      </w:r>
    </w:p>
    <w:p w14:paraId="1200FDC8" w14:textId="77777777" w:rsidR="00C3095E" w:rsidRPr="00C36CCD" w:rsidRDefault="009F0D32" w:rsidP="00C9625D">
      <w:pPr>
        <w:ind w:left="719" w:hanging="705"/>
        <w:rPr>
          <w:sz w:val="24"/>
          <w:szCs w:val="24"/>
        </w:rPr>
      </w:pPr>
      <w:r w:rsidRPr="00C36CCD">
        <w:rPr>
          <w:sz w:val="24"/>
          <w:szCs w:val="24"/>
        </w:rPr>
        <w:t xml:space="preserve">A. </w:t>
      </w:r>
      <w:r w:rsidR="00C36CCD">
        <w:rPr>
          <w:sz w:val="24"/>
          <w:szCs w:val="24"/>
        </w:rPr>
        <w:tab/>
      </w:r>
      <w:r w:rsidR="00A85486" w:rsidRPr="00C36CCD">
        <w:rPr>
          <w:sz w:val="24"/>
          <w:szCs w:val="24"/>
        </w:rPr>
        <w:t xml:space="preserve">Yes. The fact that they are campaigning may mean that they </w:t>
      </w:r>
      <w:r w:rsidR="00FE5FB5" w:rsidRPr="00C36CCD">
        <w:rPr>
          <w:sz w:val="24"/>
          <w:szCs w:val="24"/>
        </w:rPr>
        <w:t xml:space="preserve">either </w:t>
      </w:r>
      <w:r w:rsidR="00A85486" w:rsidRPr="00C36CCD">
        <w:rPr>
          <w:sz w:val="24"/>
          <w:szCs w:val="24"/>
        </w:rPr>
        <w:t xml:space="preserve">should have or will need to register as a third party with the Commission. </w:t>
      </w:r>
    </w:p>
    <w:sectPr w:rsidR="00C3095E" w:rsidRPr="00C36CC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3A475" w14:textId="77777777" w:rsidR="009F0D32" w:rsidRDefault="009F0D32">
      <w:pPr>
        <w:spacing w:after="0" w:line="240" w:lineRule="auto"/>
      </w:pPr>
      <w:r>
        <w:separator/>
      </w:r>
    </w:p>
  </w:endnote>
  <w:endnote w:type="continuationSeparator" w:id="0">
    <w:p w14:paraId="44DA3492" w14:textId="77777777" w:rsidR="009F0D32" w:rsidRDefault="009F0D32">
      <w:pPr>
        <w:spacing w:after="0" w:line="240" w:lineRule="auto"/>
      </w:pPr>
      <w:r>
        <w:continuationSeparator/>
      </w:r>
    </w:p>
  </w:endnote>
  <w:endnote w:type="continuationNotice" w:id="1">
    <w:p w14:paraId="5EBA4C19" w14:textId="77777777" w:rsidR="00C163D0" w:rsidRDefault="00C16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5339" w14:textId="77777777" w:rsidR="00A02AC1" w:rsidRDefault="00A0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350985"/>
      <w:docPartObj>
        <w:docPartGallery w:val="Page Numbers (Bottom of Page)"/>
        <w:docPartUnique/>
      </w:docPartObj>
    </w:sdtPr>
    <w:sdtEndPr>
      <w:rPr>
        <w:noProof/>
      </w:rPr>
    </w:sdtEndPr>
    <w:sdtContent>
      <w:p w14:paraId="5E513D1A" w14:textId="1F9A2BED" w:rsidR="00C9625D" w:rsidRDefault="009F0D32" w:rsidP="005F05A7">
        <w:pPr>
          <w:pStyle w:val="Footer"/>
        </w:pPr>
        <w:r>
          <w:t xml:space="preserve">Legal Counsel </w:t>
        </w:r>
        <w:r>
          <w:t>Electoral Commission 2</w:t>
        </w:r>
        <w:r w:rsidR="00A02AC1">
          <w:t>6</w:t>
        </w:r>
        <w:r>
          <w:t xml:space="preserve"> February 2014</w:t>
        </w:r>
        <w:r w:rsidR="00DD45F2">
          <w:t xml:space="preserve"> (reviewed </w:t>
        </w:r>
        <w:r w:rsidR="006B53BA">
          <w:t>March 2023</w:t>
        </w:r>
        <w:r w:rsidR="00DD45F2">
          <w:t>)</w:t>
        </w:r>
        <w:r>
          <w:tab/>
        </w:r>
        <w:r>
          <w:fldChar w:fldCharType="begin"/>
        </w:r>
        <w:r>
          <w:instrText xml:space="preserve"> PAGE   \* MERGEFORMAT </w:instrText>
        </w:r>
        <w:r>
          <w:fldChar w:fldCharType="separate"/>
        </w:r>
        <w:r w:rsidR="00387D69">
          <w:rPr>
            <w:noProof/>
          </w:rPr>
          <w:t>4</w:t>
        </w:r>
        <w:r>
          <w:rPr>
            <w:noProof/>
          </w:rPr>
          <w:fldChar w:fldCharType="end"/>
        </w:r>
      </w:p>
    </w:sdtContent>
  </w:sdt>
  <w:p w14:paraId="6DA1F88B" w14:textId="77777777" w:rsidR="00C9625D" w:rsidRDefault="00C9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2A21" w14:textId="77777777" w:rsidR="00A02AC1" w:rsidRDefault="00A0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EFFBF" w14:textId="77777777" w:rsidR="00EA2842" w:rsidRDefault="009F0D32" w:rsidP="00DE7498">
      <w:pPr>
        <w:spacing w:after="0" w:line="240" w:lineRule="auto"/>
      </w:pPr>
      <w:r>
        <w:separator/>
      </w:r>
    </w:p>
  </w:footnote>
  <w:footnote w:type="continuationSeparator" w:id="0">
    <w:p w14:paraId="112EE5B1" w14:textId="77777777" w:rsidR="00EA2842" w:rsidRDefault="009F0D32" w:rsidP="00DE7498">
      <w:pPr>
        <w:spacing w:after="0" w:line="240" w:lineRule="auto"/>
      </w:pPr>
      <w:r>
        <w:continuationSeparator/>
      </w:r>
    </w:p>
  </w:footnote>
  <w:footnote w:type="continuationNotice" w:id="1">
    <w:p w14:paraId="0F8BBE98" w14:textId="77777777" w:rsidR="00C163D0" w:rsidRDefault="00C163D0">
      <w:pPr>
        <w:spacing w:after="0" w:line="240" w:lineRule="auto"/>
      </w:pPr>
    </w:p>
  </w:footnote>
  <w:footnote w:id="2">
    <w:p w14:paraId="13B770FC" w14:textId="5AD2D773" w:rsidR="00C9625D" w:rsidRPr="008D228E" w:rsidRDefault="009F0D32">
      <w:pPr>
        <w:pStyle w:val="FootnoteText"/>
        <w:rPr>
          <w:lang w:val="en-US"/>
        </w:rPr>
      </w:pPr>
      <w:r w:rsidRPr="008D228E">
        <w:rPr>
          <w:rStyle w:val="FootnoteReference"/>
        </w:rPr>
        <w:footnoteRef/>
      </w:r>
      <w:r w:rsidRPr="008D228E">
        <w:t xml:space="preserve"> The majority of changes introduced the Transparency of Lobbying Act will apply to UK Parliamentary General Elections.  Changes to the scope of regulated activities and to the threshold for spending that is regulated will apply to </w:t>
      </w:r>
      <w:r w:rsidRPr="008D228E">
        <w:rPr>
          <w:bCs/>
        </w:rPr>
        <w:t>Sco</w:t>
      </w:r>
      <w:r w:rsidR="00DD45F2">
        <w:rPr>
          <w:bCs/>
        </w:rPr>
        <w:t>ttish Parliament, Senedd</w:t>
      </w:r>
      <w:r w:rsidRPr="008D228E">
        <w:rPr>
          <w:bCs/>
        </w:rPr>
        <w:t xml:space="preserve"> or Northern Ireland Assembly </w:t>
      </w:r>
      <w:r w:rsidRPr="008D228E">
        <w:t xml:space="preserve">elections.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C9EA" w14:textId="77777777" w:rsidR="00A02AC1" w:rsidRDefault="00A02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8D375" w14:textId="77777777" w:rsidR="00A02AC1" w:rsidRDefault="00A02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958A" w14:textId="77777777" w:rsidR="00A02AC1" w:rsidRDefault="00A0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47E52"/>
    <w:multiLevelType w:val="hybridMultilevel"/>
    <w:tmpl w:val="C77C9BBE"/>
    <w:lvl w:ilvl="0" w:tplc="8946C80E">
      <w:start w:val="1"/>
      <w:numFmt w:val="bullet"/>
      <w:lvlText w:val=""/>
      <w:lvlJc w:val="left"/>
      <w:pPr>
        <w:ind w:left="720" w:hanging="360"/>
      </w:pPr>
      <w:rPr>
        <w:rFonts w:ascii="Symbol" w:hAnsi="Symbol" w:hint="default"/>
      </w:rPr>
    </w:lvl>
    <w:lvl w:ilvl="1" w:tplc="71F8B5A6" w:tentative="1">
      <w:start w:val="1"/>
      <w:numFmt w:val="bullet"/>
      <w:lvlText w:val="o"/>
      <w:lvlJc w:val="left"/>
      <w:pPr>
        <w:ind w:left="1440" w:hanging="360"/>
      </w:pPr>
      <w:rPr>
        <w:rFonts w:ascii="Courier New" w:hAnsi="Courier New" w:cs="Courier New" w:hint="default"/>
      </w:rPr>
    </w:lvl>
    <w:lvl w:ilvl="2" w:tplc="19CE75C6" w:tentative="1">
      <w:start w:val="1"/>
      <w:numFmt w:val="bullet"/>
      <w:lvlText w:val=""/>
      <w:lvlJc w:val="left"/>
      <w:pPr>
        <w:ind w:left="2160" w:hanging="360"/>
      </w:pPr>
      <w:rPr>
        <w:rFonts w:ascii="Wingdings" w:hAnsi="Wingdings" w:hint="default"/>
      </w:rPr>
    </w:lvl>
    <w:lvl w:ilvl="3" w:tplc="B366D81C" w:tentative="1">
      <w:start w:val="1"/>
      <w:numFmt w:val="bullet"/>
      <w:lvlText w:val=""/>
      <w:lvlJc w:val="left"/>
      <w:pPr>
        <w:ind w:left="2880" w:hanging="360"/>
      </w:pPr>
      <w:rPr>
        <w:rFonts w:ascii="Symbol" w:hAnsi="Symbol" w:hint="default"/>
      </w:rPr>
    </w:lvl>
    <w:lvl w:ilvl="4" w:tplc="59847528" w:tentative="1">
      <w:start w:val="1"/>
      <w:numFmt w:val="bullet"/>
      <w:lvlText w:val="o"/>
      <w:lvlJc w:val="left"/>
      <w:pPr>
        <w:ind w:left="3600" w:hanging="360"/>
      </w:pPr>
      <w:rPr>
        <w:rFonts w:ascii="Courier New" w:hAnsi="Courier New" w:cs="Courier New" w:hint="default"/>
      </w:rPr>
    </w:lvl>
    <w:lvl w:ilvl="5" w:tplc="024C9A2E" w:tentative="1">
      <w:start w:val="1"/>
      <w:numFmt w:val="bullet"/>
      <w:lvlText w:val=""/>
      <w:lvlJc w:val="left"/>
      <w:pPr>
        <w:ind w:left="4320" w:hanging="360"/>
      </w:pPr>
      <w:rPr>
        <w:rFonts w:ascii="Wingdings" w:hAnsi="Wingdings" w:hint="default"/>
      </w:rPr>
    </w:lvl>
    <w:lvl w:ilvl="6" w:tplc="7CDA55FC" w:tentative="1">
      <w:start w:val="1"/>
      <w:numFmt w:val="bullet"/>
      <w:lvlText w:val=""/>
      <w:lvlJc w:val="left"/>
      <w:pPr>
        <w:ind w:left="5040" w:hanging="360"/>
      </w:pPr>
      <w:rPr>
        <w:rFonts w:ascii="Symbol" w:hAnsi="Symbol" w:hint="default"/>
      </w:rPr>
    </w:lvl>
    <w:lvl w:ilvl="7" w:tplc="3514A5A6" w:tentative="1">
      <w:start w:val="1"/>
      <w:numFmt w:val="bullet"/>
      <w:lvlText w:val="o"/>
      <w:lvlJc w:val="left"/>
      <w:pPr>
        <w:ind w:left="5760" w:hanging="360"/>
      </w:pPr>
      <w:rPr>
        <w:rFonts w:ascii="Courier New" w:hAnsi="Courier New" w:cs="Courier New" w:hint="default"/>
      </w:rPr>
    </w:lvl>
    <w:lvl w:ilvl="8" w:tplc="39889084" w:tentative="1">
      <w:start w:val="1"/>
      <w:numFmt w:val="bullet"/>
      <w:lvlText w:val=""/>
      <w:lvlJc w:val="left"/>
      <w:pPr>
        <w:ind w:left="6480" w:hanging="360"/>
      </w:pPr>
      <w:rPr>
        <w:rFonts w:ascii="Wingdings" w:hAnsi="Wingdings" w:hint="default"/>
      </w:rPr>
    </w:lvl>
  </w:abstractNum>
  <w:abstractNum w:abstractNumId="1" w15:restartNumberingAfterBreak="0">
    <w:nsid w:val="2FAC27BD"/>
    <w:multiLevelType w:val="hybridMultilevel"/>
    <w:tmpl w:val="F00A754E"/>
    <w:lvl w:ilvl="0" w:tplc="7DBE4368">
      <w:start w:val="1"/>
      <w:numFmt w:val="upperLetter"/>
      <w:lvlText w:val="%1."/>
      <w:lvlJc w:val="left"/>
      <w:pPr>
        <w:ind w:left="1080" w:hanging="360"/>
      </w:pPr>
      <w:rPr>
        <w:rFonts w:hint="default"/>
        <w:b w:val="0"/>
      </w:rPr>
    </w:lvl>
    <w:lvl w:ilvl="1" w:tplc="3A50A0F6" w:tentative="1">
      <w:start w:val="1"/>
      <w:numFmt w:val="lowerLetter"/>
      <w:lvlText w:val="%2."/>
      <w:lvlJc w:val="left"/>
      <w:pPr>
        <w:ind w:left="1800" w:hanging="360"/>
      </w:pPr>
    </w:lvl>
    <w:lvl w:ilvl="2" w:tplc="A970CE58" w:tentative="1">
      <w:start w:val="1"/>
      <w:numFmt w:val="lowerRoman"/>
      <w:lvlText w:val="%3."/>
      <w:lvlJc w:val="right"/>
      <w:pPr>
        <w:ind w:left="2520" w:hanging="180"/>
      </w:pPr>
    </w:lvl>
    <w:lvl w:ilvl="3" w:tplc="BD7265D8" w:tentative="1">
      <w:start w:val="1"/>
      <w:numFmt w:val="decimal"/>
      <w:lvlText w:val="%4."/>
      <w:lvlJc w:val="left"/>
      <w:pPr>
        <w:ind w:left="3240" w:hanging="360"/>
      </w:pPr>
    </w:lvl>
    <w:lvl w:ilvl="4" w:tplc="ABAC8736" w:tentative="1">
      <w:start w:val="1"/>
      <w:numFmt w:val="lowerLetter"/>
      <w:lvlText w:val="%5."/>
      <w:lvlJc w:val="left"/>
      <w:pPr>
        <w:ind w:left="3960" w:hanging="360"/>
      </w:pPr>
    </w:lvl>
    <w:lvl w:ilvl="5" w:tplc="8B4448B6" w:tentative="1">
      <w:start w:val="1"/>
      <w:numFmt w:val="lowerRoman"/>
      <w:lvlText w:val="%6."/>
      <w:lvlJc w:val="right"/>
      <w:pPr>
        <w:ind w:left="4680" w:hanging="180"/>
      </w:pPr>
    </w:lvl>
    <w:lvl w:ilvl="6" w:tplc="C6986720" w:tentative="1">
      <w:start w:val="1"/>
      <w:numFmt w:val="decimal"/>
      <w:lvlText w:val="%7."/>
      <w:lvlJc w:val="left"/>
      <w:pPr>
        <w:ind w:left="5400" w:hanging="360"/>
      </w:pPr>
    </w:lvl>
    <w:lvl w:ilvl="7" w:tplc="8F202400" w:tentative="1">
      <w:start w:val="1"/>
      <w:numFmt w:val="lowerLetter"/>
      <w:lvlText w:val="%8."/>
      <w:lvlJc w:val="left"/>
      <w:pPr>
        <w:ind w:left="6120" w:hanging="360"/>
      </w:pPr>
    </w:lvl>
    <w:lvl w:ilvl="8" w:tplc="8306E9B8" w:tentative="1">
      <w:start w:val="1"/>
      <w:numFmt w:val="lowerRoman"/>
      <w:lvlText w:val="%9."/>
      <w:lvlJc w:val="right"/>
      <w:pPr>
        <w:ind w:left="6840" w:hanging="180"/>
      </w:pPr>
    </w:lvl>
  </w:abstractNum>
  <w:abstractNum w:abstractNumId="2" w15:restartNumberingAfterBreak="0">
    <w:nsid w:val="3D0E0E84"/>
    <w:multiLevelType w:val="hybridMultilevel"/>
    <w:tmpl w:val="9E10780A"/>
    <w:lvl w:ilvl="0" w:tplc="2C88B47E">
      <w:start w:val="1"/>
      <w:numFmt w:val="decimal"/>
      <w:lvlText w:val="%1."/>
      <w:lvlJc w:val="left"/>
      <w:pPr>
        <w:ind w:left="720" w:hanging="360"/>
      </w:pPr>
      <w:rPr>
        <w:rFonts w:cs="Times New Roman"/>
      </w:rPr>
    </w:lvl>
    <w:lvl w:ilvl="1" w:tplc="BEBE11AC">
      <w:start w:val="1"/>
      <w:numFmt w:val="lowerLetter"/>
      <w:lvlText w:val="%2."/>
      <w:lvlJc w:val="left"/>
      <w:pPr>
        <w:ind w:left="1440" w:hanging="360"/>
      </w:pPr>
      <w:rPr>
        <w:rFonts w:cs="Times New Roman"/>
      </w:rPr>
    </w:lvl>
    <w:lvl w:ilvl="2" w:tplc="588AFC26">
      <w:start w:val="1"/>
      <w:numFmt w:val="lowerRoman"/>
      <w:lvlText w:val="%3."/>
      <w:lvlJc w:val="right"/>
      <w:pPr>
        <w:ind w:left="2160" w:hanging="180"/>
      </w:pPr>
      <w:rPr>
        <w:rFonts w:cs="Times New Roman"/>
      </w:rPr>
    </w:lvl>
    <w:lvl w:ilvl="3" w:tplc="D6B6A966">
      <w:start w:val="1"/>
      <w:numFmt w:val="decimal"/>
      <w:lvlText w:val="%4."/>
      <w:lvlJc w:val="left"/>
      <w:pPr>
        <w:ind w:left="2880" w:hanging="360"/>
      </w:pPr>
      <w:rPr>
        <w:rFonts w:cs="Times New Roman"/>
      </w:rPr>
    </w:lvl>
    <w:lvl w:ilvl="4" w:tplc="235E53F0">
      <w:start w:val="1"/>
      <w:numFmt w:val="lowerLetter"/>
      <w:lvlText w:val="%5."/>
      <w:lvlJc w:val="left"/>
      <w:pPr>
        <w:ind w:left="3600" w:hanging="360"/>
      </w:pPr>
      <w:rPr>
        <w:rFonts w:cs="Times New Roman"/>
      </w:rPr>
    </w:lvl>
    <w:lvl w:ilvl="5" w:tplc="8F54FF4A">
      <w:start w:val="1"/>
      <w:numFmt w:val="lowerRoman"/>
      <w:lvlText w:val="%6."/>
      <w:lvlJc w:val="right"/>
      <w:pPr>
        <w:ind w:left="4320" w:hanging="180"/>
      </w:pPr>
      <w:rPr>
        <w:rFonts w:cs="Times New Roman"/>
      </w:rPr>
    </w:lvl>
    <w:lvl w:ilvl="6" w:tplc="697C5AFE">
      <w:start w:val="1"/>
      <w:numFmt w:val="decimal"/>
      <w:lvlText w:val="%7."/>
      <w:lvlJc w:val="left"/>
      <w:pPr>
        <w:ind w:left="5040" w:hanging="360"/>
      </w:pPr>
      <w:rPr>
        <w:rFonts w:cs="Times New Roman"/>
      </w:rPr>
    </w:lvl>
    <w:lvl w:ilvl="7" w:tplc="476C8676">
      <w:start w:val="1"/>
      <w:numFmt w:val="lowerLetter"/>
      <w:lvlText w:val="%8."/>
      <w:lvlJc w:val="left"/>
      <w:pPr>
        <w:ind w:left="5760" w:hanging="360"/>
      </w:pPr>
      <w:rPr>
        <w:rFonts w:cs="Times New Roman"/>
      </w:rPr>
    </w:lvl>
    <w:lvl w:ilvl="8" w:tplc="C71E3EB4">
      <w:start w:val="1"/>
      <w:numFmt w:val="lowerRoman"/>
      <w:lvlText w:val="%9."/>
      <w:lvlJc w:val="right"/>
      <w:pPr>
        <w:ind w:left="6480" w:hanging="180"/>
      </w:pPr>
      <w:rPr>
        <w:rFonts w:cs="Times New Roman"/>
      </w:rPr>
    </w:lvl>
  </w:abstractNum>
  <w:abstractNum w:abstractNumId="3" w15:restartNumberingAfterBreak="0">
    <w:nsid w:val="3DDE1BB6"/>
    <w:multiLevelType w:val="hybridMultilevel"/>
    <w:tmpl w:val="157C8930"/>
    <w:lvl w:ilvl="0" w:tplc="0DB67758">
      <w:start w:val="1"/>
      <w:numFmt w:val="upperLetter"/>
      <w:lvlText w:val="%1."/>
      <w:lvlJc w:val="left"/>
      <w:pPr>
        <w:ind w:left="1080" w:hanging="360"/>
      </w:pPr>
      <w:rPr>
        <w:rFonts w:hint="default"/>
      </w:rPr>
    </w:lvl>
    <w:lvl w:ilvl="1" w:tplc="EB4A01D2" w:tentative="1">
      <w:start w:val="1"/>
      <w:numFmt w:val="lowerLetter"/>
      <w:lvlText w:val="%2."/>
      <w:lvlJc w:val="left"/>
      <w:pPr>
        <w:ind w:left="1800" w:hanging="360"/>
      </w:pPr>
    </w:lvl>
    <w:lvl w:ilvl="2" w:tplc="265A93AC" w:tentative="1">
      <w:start w:val="1"/>
      <w:numFmt w:val="lowerRoman"/>
      <w:lvlText w:val="%3."/>
      <w:lvlJc w:val="right"/>
      <w:pPr>
        <w:ind w:left="2520" w:hanging="180"/>
      </w:pPr>
    </w:lvl>
    <w:lvl w:ilvl="3" w:tplc="B27A6238" w:tentative="1">
      <w:start w:val="1"/>
      <w:numFmt w:val="decimal"/>
      <w:lvlText w:val="%4."/>
      <w:lvlJc w:val="left"/>
      <w:pPr>
        <w:ind w:left="3240" w:hanging="360"/>
      </w:pPr>
    </w:lvl>
    <w:lvl w:ilvl="4" w:tplc="5CB0488E" w:tentative="1">
      <w:start w:val="1"/>
      <w:numFmt w:val="lowerLetter"/>
      <w:lvlText w:val="%5."/>
      <w:lvlJc w:val="left"/>
      <w:pPr>
        <w:ind w:left="3960" w:hanging="360"/>
      </w:pPr>
    </w:lvl>
    <w:lvl w:ilvl="5" w:tplc="D9704616" w:tentative="1">
      <w:start w:val="1"/>
      <w:numFmt w:val="lowerRoman"/>
      <w:lvlText w:val="%6."/>
      <w:lvlJc w:val="right"/>
      <w:pPr>
        <w:ind w:left="4680" w:hanging="180"/>
      </w:pPr>
    </w:lvl>
    <w:lvl w:ilvl="6" w:tplc="408A79F2" w:tentative="1">
      <w:start w:val="1"/>
      <w:numFmt w:val="decimal"/>
      <w:lvlText w:val="%7."/>
      <w:lvlJc w:val="left"/>
      <w:pPr>
        <w:ind w:left="5400" w:hanging="360"/>
      </w:pPr>
    </w:lvl>
    <w:lvl w:ilvl="7" w:tplc="9DE259B8" w:tentative="1">
      <w:start w:val="1"/>
      <w:numFmt w:val="lowerLetter"/>
      <w:lvlText w:val="%8."/>
      <w:lvlJc w:val="left"/>
      <w:pPr>
        <w:ind w:left="6120" w:hanging="360"/>
      </w:pPr>
    </w:lvl>
    <w:lvl w:ilvl="8" w:tplc="7E446736" w:tentative="1">
      <w:start w:val="1"/>
      <w:numFmt w:val="lowerRoman"/>
      <w:lvlText w:val="%9."/>
      <w:lvlJc w:val="right"/>
      <w:pPr>
        <w:ind w:left="6840" w:hanging="180"/>
      </w:pPr>
    </w:lvl>
  </w:abstractNum>
  <w:abstractNum w:abstractNumId="4" w15:restartNumberingAfterBreak="0">
    <w:nsid w:val="40635B49"/>
    <w:multiLevelType w:val="hybridMultilevel"/>
    <w:tmpl w:val="E8208F88"/>
    <w:lvl w:ilvl="0" w:tplc="F6AE35E8">
      <w:start w:val="1"/>
      <w:numFmt w:val="upperLetter"/>
      <w:lvlText w:val="%1."/>
      <w:lvlJc w:val="left"/>
      <w:pPr>
        <w:ind w:left="1080" w:hanging="360"/>
      </w:pPr>
      <w:rPr>
        <w:rFonts w:hint="default"/>
      </w:rPr>
    </w:lvl>
    <w:lvl w:ilvl="1" w:tplc="69DECBE8" w:tentative="1">
      <w:start w:val="1"/>
      <w:numFmt w:val="lowerLetter"/>
      <w:lvlText w:val="%2."/>
      <w:lvlJc w:val="left"/>
      <w:pPr>
        <w:ind w:left="1800" w:hanging="360"/>
      </w:pPr>
    </w:lvl>
    <w:lvl w:ilvl="2" w:tplc="02106B30" w:tentative="1">
      <w:start w:val="1"/>
      <w:numFmt w:val="lowerRoman"/>
      <w:lvlText w:val="%3."/>
      <w:lvlJc w:val="right"/>
      <w:pPr>
        <w:ind w:left="2520" w:hanging="180"/>
      </w:pPr>
    </w:lvl>
    <w:lvl w:ilvl="3" w:tplc="8F66E26E" w:tentative="1">
      <w:start w:val="1"/>
      <w:numFmt w:val="decimal"/>
      <w:lvlText w:val="%4."/>
      <w:lvlJc w:val="left"/>
      <w:pPr>
        <w:ind w:left="3240" w:hanging="360"/>
      </w:pPr>
    </w:lvl>
    <w:lvl w:ilvl="4" w:tplc="18C0E290" w:tentative="1">
      <w:start w:val="1"/>
      <w:numFmt w:val="lowerLetter"/>
      <w:lvlText w:val="%5."/>
      <w:lvlJc w:val="left"/>
      <w:pPr>
        <w:ind w:left="3960" w:hanging="360"/>
      </w:pPr>
    </w:lvl>
    <w:lvl w:ilvl="5" w:tplc="6FD8477C" w:tentative="1">
      <w:start w:val="1"/>
      <w:numFmt w:val="lowerRoman"/>
      <w:lvlText w:val="%6."/>
      <w:lvlJc w:val="right"/>
      <w:pPr>
        <w:ind w:left="4680" w:hanging="180"/>
      </w:pPr>
    </w:lvl>
    <w:lvl w:ilvl="6" w:tplc="CF186492" w:tentative="1">
      <w:start w:val="1"/>
      <w:numFmt w:val="decimal"/>
      <w:lvlText w:val="%7."/>
      <w:lvlJc w:val="left"/>
      <w:pPr>
        <w:ind w:left="5400" w:hanging="360"/>
      </w:pPr>
    </w:lvl>
    <w:lvl w:ilvl="7" w:tplc="C9FEC9D2" w:tentative="1">
      <w:start w:val="1"/>
      <w:numFmt w:val="lowerLetter"/>
      <w:lvlText w:val="%8."/>
      <w:lvlJc w:val="left"/>
      <w:pPr>
        <w:ind w:left="6120" w:hanging="360"/>
      </w:pPr>
    </w:lvl>
    <w:lvl w:ilvl="8" w:tplc="F3629B1A" w:tentative="1">
      <w:start w:val="1"/>
      <w:numFmt w:val="lowerRoman"/>
      <w:lvlText w:val="%9."/>
      <w:lvlJc w:val="right"/>
      <w:pPr>
        <w:ind w:left="6840" w:hanging="180"/>
      </w:pPr>
    </w:lvl>
  </w:abstractNum>
  <w:abstractNum w:abstractNumId="5" w15:restartNumberingAfterBreak="0">
    <w:nsid w:val="4B053F9C"/>
    <w:multiLevelType w:val="hybridMultilevel"/>
    <w:tmpl w:val="AA7AA3E8"/>
    <w:lvl w:ilvl="0" w:tplc="BDE46BF0">
      <w:start w:val="1"/>
      <w:numFmt w:val="upperLetter"/>
      <w:lvlText w:val="%1."/>
      <w:lvlJc w:val="left"/>
      <w:pPr>
        <w:ind w:left="1080" w:hanging="360"/>
      </w:pPr>
      <w:rPr>
        <w:rFonts w:hint="default"/>
        <w:b w:val="0"/>
        <w:sz w:val="24"/>
        <w:szCs w:val="24"/>
      </w:rPr>
    </w:lvl>
    <w:lvl w:ilvl="1" w:tplc="57BEA496" w:tentative="1">
      <w:start w:val="1"/>
      <w:numFmt w:val="lowerLetter"/>
      <w:lvlText w:val="%2."/>
      <w:lvlJc w:val="left"/>
      <w:pPr>
        <w:ind w:left="1800" w:hanging="360"/>
      </w:pPr>
    </w:lvl>
    <w:lvl w:ilvl="2" w:tplc="8ACA05BC" w:tentative="1">
      <w:start w:val="1"/>
      <w:numFmt w:val="lowerRoman"/>
      <w:lvlText w:val="%3."/>
      <w:lvlJc w:val="right"/>
      <w:pPr>
        <w:ind w:left="2520" w:hanging="180"/>
      </w:pPr>
    </w:lvl>
    <w:lvl w:ilvl="3" w:tplc="7C425944" w:tentative="1">
      <w:start w:val="1"/>
      <w:numFmt w:val="decimal"/>
      <w:lvlText w:val="%4."/>
      <w:lvlJc w:val="left"/>
      <w:pPr>
        <w:ind w:left="3240" w:hanging="360"/>
      </w:pPr>
    </w:lvl>
    <w:lvl w:ilvl="4" w:tplc="21C283F0" w:tentative="1">
      <w:start w:val="1"/>
      <w:numFmt w:val="lowerLetter"/>
      <w:lvlText w:val="%5."/>
      <w:lvlJc w:val="left"/>
      <w:pPr>
        <w:ind w:left="3960" w:hanging="360"/>
      </w:pPr>
    </w:lvl>
    <w:lvl w:ilvl="5" w:tplc="0534E5C6" w:tentative="1">
      <w:start w:val="1"/>
      <w:numFmt w:val="lowerRoman"/>
      <w:lvlText w:val="%6."/>
      <w:lvlJc w:val="right"/>
      <w:pPr>
        <w:ind w:left="4680" w:hanging="180"/>
      </w:pPr>
    </w:lvl>
    <w:lvl w:ilvl="6" w:tplc="85EE5C5E" w:tentative="1">
      <w:start w:val="1"/>
      <w:numFmt w:val="decimal"/>
      <w:lvlText w:val="%7."/>
      <w:lvlJc w:val="left"/>
      <w:pPr>
        <w:ind w:left="5400" w:hanging="360"/>
      </w:pPr>
    </w:lvl>
    <w:lvl w:ilvl="7" w:tplc="FD704DAC" w:tentative="1">
      <w:start w:val="1"/>
      <w:numFmt w:val="lowerLetter"/>
      <w:lvlText w:val="%8."/>
      <w:lvlJc w:val="left"/>
      <w:pPr>
        <w:ind w:left="6120" w:hanging="360"/>
      </w:pPr>
    </w:lvl>
    <w:lvl w:ilvl="8" w:tplc="1E5AD1A6" w:tentative="1">
      <w:start w:val="1"/>
      <w:numFmt w:val="lowerRoman"/>
      <w:lvlText w:val="%9."/>
      <w:lvlJc w:val="right"/>
      <w:pPr>
        <w:ind w:left="6840" w:hanging="180"/>
      </w:pPr>
    </w:lvl>
  </w:abstractNum>
  <w:abstractNum w:abstractNumId="6" w15:restartNumberingAfterBreak="0">
    <w:nsid w:val="50092092"/>
    <w:multiLevelType w:val="hybridMultilevel"/>
    <w:tmpl w:val="32E6FF88"/>
    <w:lvl w:ilvl="0" w:tplc="749857AA">
      <w:start w:val="1"/>
      <w:numFmt w:val="decimal"/>
      <w:lvlText w:val="%1."/>
      <w:lvlJc w:val="left"/>
      <w:pPr>
        <w:ind w:left="720" w:hanging="360"/>
      </w:pPr>
      <w:rPr>
        <w:rFonts w:hint="default"/>
      </w:rPr>
    </w:lvl>
    <w:lvl w:ilvl="1" w:tplc="79F63AB4" w:tentative="1">
      <w:start w:val="1"/>
      <w:numFmt w:val="lowerLetter"/>
      <w:lvlText w:val="%2."/>
      <w:lvlJc w:val="left"/>
      <w:pPr>
        <w:ind w:left="1440" w:hanging="360"/>
      </w:pPr>
    </w:lvl>
    <w:lvl w:ilvl="2" w:tplc="77BAA66E" w:tentative="1">
      <w:start w:val="1"/>
      <w:numFmt w:val="lowerRoman"/>
      <w:lvlText w:val="%3."/>
      <w:lvlJc w:val="right"/>
      <w:pPr>
        <w:ind w:left="2160" w:hanging="180"/>
      </w:pPr>
    </w:lvl>
    <w:lvl w:ilvl="3" w:tplc="3F4A5B52" w:tentative="1">
      <w:start w:val="1"/>
      <w:numFmt w:val="decimal"/>
      <w:lvlText w:val="%4."/>
      <w:lvlJc w:val="left"/>
      <w:pPr>
        <w:ind w:left="2880" w:hanging="360"/>
      </w:pPr>
    </w:lvl>
    <w:lvl w:ilvl="4" w:tplc="D488012C" w:tentative="1">
      <w:start w:val="1"/>
      <w:numFmt w:val="lowerLetter"/>
      <w:lvlText w:val="%5."/>
      <w:lvlJc w:val="left"/>
      <w:pPr>
        <w:ind w:left="3600" w:hanging="360"/>
      </w:pPr>
    </w:lvl>
    <w:lvl w:ilvl="5" w:tplc="4260D32C" w:tentative="1">
      <w:start w:val="1"/>
      <w:numFmt w:val="lowerRoman"/>
      <w:lvlText w:val="%6."/>
      <w:lvlJc w:val="right"/>
      <w:pPr>
        <w:ind w:left="4320" w:hanging="180"/>
      </w:pPr>
    </w:lvl>
    <w:lvl w:ilvl="6" w:tplc="D3305488" w:tentative="1">
      <w:start w:val="1"/>
      <w:numFmt w:val="decimal"/>
      <w:lvlText w:val="%7."/>
      <w:lvlJc w:val="left"/>
      <w:pPr>
        <w:ind w:left="5040" w:hanging="360"/>
      </w:pPr>
    </w:lvl>
    <w:lvl w:ilvl="7" w:tplc="5412CE52" w:tentative="1">
      <w:start w:val="1"/>
      <w:numFmt w:val="lowerLetter"/>
      <w:lvlText w:val="%8."/>
      <w:lvlJc w:val="left"/>
      <w:pPr>
        <w:ind w:left="5760" w:hanging="360"/>
      </w:pPr>
    </w:lvl>
    <w:lvl w:ilvl="8" w:tplc="C5D866C6" w:tentative="1">
      <w:start w:val="1"/>
      <w:numFmt w:val="lowerRoman"/>
      <w:lvlText w:val="%9."/>
      <w:lvlJc w:val="right"/>
      <w:pPr>
        <w:ind w:left="6480" w:hanging="180"/>
      </w:pPr>
    </w:lvl>
  </w:abstractNum>
  <w:abstractNum w:abstractNumId="7" w15:restartNumberingAfterBreak="0">
    <w:nsid w:val="62337D18"/>
    <w:multiLevelType w:val="hybridMultilevel"/>
    <w:tmpl w:val="C082C084"/>
    <w:lvl w:ilvl="0" w:tplc="6660EC12">
      <w:start w:val="1"/>
      <w:numFmt w:val="decimal"/>
      <w:lvlText w:val="%1."/>
      <w:lvlJc w:val="left"/>
      <w:pPr>
        <w:ind w:left="360" w:hanging="360"/>
      </w:pPr>
      <w:rPr>
        <w:rFonts w:hint="default"/>
      </w:rPr>
    </w:lvl>
    <w:lvl w:ilvl="1" w:tplc="07CA2776" w:tentative="1">
      <w:start w:val="1"/>
      <w:numFmt w:val="lowerLetter"/>
      <w:lvlText w:val="%2."/>
      <w:lvlJc w:val="left"/>
      <w:pPr>
        <w:ind w:left="1080" w:hanging="360"/>
      </w:pPr>
    </w:lvl>
    <w:lvl w:ilvl="2" w:tplc="4106E602" w:tentative="1">
      <w:start w:val="1"/>
      <w:numFmt w:val="lowerRoman"/>
      <w:lvlText w:val="%3."/>
      <w:lvlJc w:val="right"/>
      <w:pPr>
        <w:ind w:left="1800" w:hanging="180"/>
      </w:pPr>
    </w:lvl>
    <w:lvl w:ilvl="3" w:tplc="6D6E6E16" w:tentative="1">
      <w:start w:val="1"/>
      <w:numFmt w:val="decimal"/>
      <w:lvlText w:val="%4."/>
      <w:lvlJc w:val="left"/>
      <w:pPr>
        <w:ind w:left="2520" w:hanging="360"/>
      </w:pPr>
    </w:lvl>
    <w:lvl w:ilvl="4" w:tplc="9CB8CD4E" w:tentative="1">
      <w:start w:val="1"/>
      <w:numFmt w:val="lowerLetter"/>
      <w:lvlText w:val="%5."/>
      <w:lvlJc w:val="left"/>
      <w:pPr>
        <w:ind w:left="3240" w:hanging="360"/>
      </w:pPr>
    </w:lvl>
    <w:lvl w:ilvl="5" w:tplc="E84C43AE" w:tentative="1">
      <w:start w:val="1"/>
      <w:numFmt w:val="lowerRoman"/>
      <w:lvlText w:val="%6."/>
      <w:lvlJc w:val="right"/>
      <w:pPr>
        <w:ind w:left="3960" w:hanging="180"/>
      </w:pPr>
    </w:lvl>
    <w:lvl w:ilvl="6" w:tplc="DD861A68" w:tentative="1">
      <w:start w:val="1"/>
      <w:numFmt w:val="decimal"/>
      <w:lvlText w:val="%7."/>
      <w:lvlJc w:val="left"/>
      <w:pPr>
        <w:ind w:left="4680" w:hanging="360"/>
      </w:pPr>
    </w:lvl>
    <w:lvl w:ilvl="7" w:tplc="5D6A3BF6" w:tentative="1">
      <w:start w:val="1"/>
      <w:numFmt w:val="lowerLetter"/>
      <w:lvlText w:val="%8."/>
      <w:lvlJc w:val="left"/>
      <w:pPr>
        <w:ind w:left="5400" w:hanging="360"/>
      </w:pPr>
    </w:lvl>
    <w:lvl w:ilvl="8" w:tplc="CC5C639E" w:tentative="1">
      <w:start w:val="1"/>
      <w:numFmt w:val="lowerRoman"/>
      <w:lvlText w:val="%9."/>
      <w:lvlJc w:val="right"/>
      <w:pPr>
        <w:ind w:left="6120" w:hanging="180"/>
      </w:pPr>
    </w:lvl>
  </w:abstractNum>
  <w:abstractNum w:abstractNumId="8" w15:restartNumberingAfterBreak="0">
    <w:nsid w:val="67F149CA"/>
    <w:multiLevelType w:val="hybridMultilevel"/>
    <w:tmpl w:val="32E6FF88"/>
    <w:lvl w:ilvl="0" w:tplc="F3D6FE10">
      <w:start w:val="1"/>
      <w:numFmt w:val="decimal"/>
      <w:lvlText w:val="%1."/>
      <w:lvlJc w:val="left"/>
      <w:pPr>
        <w:ind w:left="720" w:hanging="360"/>
      </w:pPr>
      <w:rPr>
        <w:rFonts w:hint="default"/>
      </w:rPr>
    </w:lvl>
    <w:lvl w:ilvl="1" w:tplc="414EDF54" w:tentative="1">
      <w:start w:val="1"/>
      <w:numFmt w:val="lowerLetter"/>
      <w:lvlText w:val="%2."/>
      <w:lvlJc w:val="left"/>
      <w:pPr>
        <w:ind w:left="1440" w:hanging="360"/>
      </w:pPr>
    </w:lvl>
    <w:lvl w:ilvl="2" w:tplc="4DAC252C" w:tentative="1">
      <w:start w:val="1"/>
      <w:numFmt w:val="lowerRoman"/>
      <w:lvlText w:val="%3."/>
      <w:lvlJc w:val="right"/>
      <w:pPr>
        <w:ind w:left="2160" w:hanging="180"/>
      </w:pPr>
    </w:lvl>
    <w:lvl w:ilvl="3" w:tplc="5100D6AE" w:tentative="1">
      <w:start w:val="1"/>
      <w:numFmt w:val="decimal"/>
      <w:lvlText w:val="%4."/>
      <w:lvlJc w:val="left"/>
      <w:pPr>
        <w:ind w:left="2880" w:hanging="360"/>
      </w:pPr>
    </w:lvl>
    <w:lvl w:ilvl="4" w:tplc="4A143170" w:tentative="1">
      <w:start w:val="1"/>
      <w:numFmt w:val="lowerLetter"/>
      <w:lvlText w:val="%5."/>
      <w:lvlJc w:val="left"/>
      <w:pPr>
        <w:ind w:left="3600" w:hanging="360"/>
      </w:pPr>
    </w:lvl>
    <w:lvl w:ilvl="5" w:tplc="F5A07FE2" w:tentative="1">
      <w:start w:val="1"/>
      <w:numFmt w:val="lowerRoman"/>
      <w:lvlText w:val="%6."/>
      <w:lvlJc w:val="right"/>
      <w:pPr>
        <w:ind w:left="4320" w:hanging="180"/>
      </w:pPr>
    </w:lvl>
    <w:lvl w:ilvl="6" w:tplc="71C626A0" w:tentative="1">
      <w:start w:val="1"/>
      <w:numFmt w:val="decimal"/>
      <w:lvlText w:val="%7."/>
      <w:lvlJc w:val="left"/>
      <w:pPr>
        <w:ind w:left="5040" w:hanging="360"/>
      </w:pPr>
    </w:lvl>
    <w:lvl w:ilvl="7" w:tplc="3D8A50D0" w:tentative="1">
      <w:start w:val="1"/>
      <w:numFmt w:val="lowerLetter"/>
      <w:lvlText w:val="%8."/>
      <w:lvlJc w:val="left"/>
      <w:pPr>
        <w:ind w:left="5760" w:hanging="360"/>
      </w:pPr>
    </w:lvl>
    <w:lvl w:ilvl="8" w:tplc="A1BAF62C" w:tentative="1">
      <w:start w:val="1"/>
      <w:numFmt w:val="lowerRoman"/>
      <w:lvlText w:val="%9."/>
      <w:lvlJc w:val="right"/>
      <w:pPr>
        <w:ind w:left="6480" w:hanging="180"/>
      </w:pPr>
    </w:lvl>
  </w:abstractNum>
  <w:abstractNum w:abstractNumId="9" w15:restartNumberingAfterBreak="0">
    <w:nsid w:val="6F252C6B"/>
    <w:multiLevelType w:val="hybridMultilevel"/>
    <w:tmpl w:val="185603B4"/>
    <w:lvl w:ilvl="0" w:tplc="2020B5EA">
      <w:start w:val="1"/>
      <w:numFmt w:val="upperLetter"/>
      <w:lvlText w:val="%1."/>
      <w:lvlJc w:val="left"/>
      <w:pPr>
        <w:ind w:left="2487" w:hanging="360"/>
      </w:pPr>
      <w:rPr>
        <w:rFonts w:hint="default"/>
      </w:rPr>
    </w:lvl>
    <w:lvl w:ilvl="1" w:tplc="7B34ED80" w:tentative="1">
      <w:start w:val="1"/>
      <w:numFmt w:val="lowerLetter"/>
      <w:lvlText w:val="%2."/>
      <w:lvlJc w:val="left"/>
      <w:pPr>
        <w:ind w:left="3207" w:hanging="360"/>
      </w:pPr>
    </w:lvl>
    <w:lvl w:ilvl="2" w:tplc="DCD0AA7A" w:tentative="1">
      <w:start w:val="1"/>
      <w:numFmt w:val="lowerRoman"/>
      <w:lvlText w:val="%3."/>
      <w:lvlJc w:val="right"/>
      <w:pPr>
        <w:ind w:left="3927" w:hanging="180"/>
      </w:pPr>
    </w:lvl>
    <w:lvl w:ilvl="3" w:tplc="88F6D438" w:tentative="1">
      <w:start w:val="1"/>
      <w:numFmt w:val="decimal"/>
      <w:lvlText w:val="%4."/>
      <w:lvlJc w:val="left"/>
      <w:pPr>
        <w:ind w:left="4647" w:hanging="360"/>
      </w:pPr>
    </w:lvl>
    <w:lvl w:ilvl="4" w:tplc="FE5227A6" w:tentative="1">
      <w:start w:val="1"/>
      <w:numFmt w:val="lowerLetter"/>
      <w:lvlText w:val="%5."/>
      <w:lvlJc w:val="left"/>
      <w:pPr>
        <w:ind w:left="5367" w:hanging="360"/>
      </w:pPr>
    </w:lvl>
    <w:lvl w:ilvl="5" w:tplc="548602D2" w:tentative="1">
      <w:start w:val="1"/>
      <w:numFmt w:val="lowerRoman"/>
      <w:lvlText w:val="%6."/>
      <w:lvlJc w:val="right"/>
      <w:pPr>
        <w:ind w:left="6087" w:hanging="180"/>
      </w:pPr>
    </w:lvl>
    <w:lvl w:ilvl="6" w:tplc="AFDCFC7E" w:tentative="1">
      <w:start w:val="1"/>
      <w:numFmt w:val="decimal"/>
      <w:lvlText w:val="%7."/>
      <w:lvlJc w:val="left"/>
      <w:pPr>
        <w:ind w:left="6807" w:hanging="360"/>
      </w:pPr>
    </w:lvl>
    <w:lvl w:ilvl="7" w:tplc="202484E4" w:tentative="1">
      <w:start w:val="1"/>
      <w:numFmt w:val="lowerLetter"/>
      <w:lvlText w:val="%8."/>
      <w:lvlJc w:val="left"/>
      <w:pPr>
        <w:ind w:left="7527" w:hanging="360"/>
      </w:pPr>
    </w:lvl>
    <w:lvl w:ilvl="8" w:tplc="86A622A8" w:tentative="1">
      <w:start w:val="1"/>
      <w:numFmt w:val="lowerRoman"/>
      <w:lvlText w:val="%9."/>
      <w:lvlJc w:val="right"/>
      <w:pPr>
        <w:ind w:left="8247" w:hanging="180"/>
      </w:pPr>
    </w:lvl>
  </w:abstractNum>
  <w:abstractNum w:abstractNumId="10" w15:restartNumberingAfterBreak="0">
    <w:nsid w:val="74163612"/>
    <w:multiLevelType w:val="hybridMultilevel"/>
    <w:tmpl w:val="12B4D788"/>
    <w:lvl w:ilvl="0" w:tplc="5E0C8796">
      <w:start w:val="1"/>
      <w:numFmt w:val="lowerLetter"/>
      <w:lvlText w:val="%1)"/>
      <w:lvlJc w:val="left"/>
      <w:pPr>
        <w:ind w:left="435" w:hanging="360"/>
      </w:pPr>
      <w:rPr>
        <w:rFonts w:cs="Times New Roman"/>
      </w:rPr>
    </w:lvl>
    <w:lvl w:ilvl="1" w:tplc="EB583D7C">
      <w:start w:val="1"/>
      <w:numFmt w:val="lowerLetter"/>
      <w:lvlText w:val="%2."/>
      <w:lvlJc w:val="left"/>
      <w:pPr>
        <w:ind w:left="1155" w:hanging="360"/>
      </w:pPr>
      <w:rPr>
        <w:rFonts w:cs="Times New Roman"/>
      </w:rPr>
    </w:lvl>
    <w:lvl w:ilvl="2" w:tplc="408807C4">
      <w:start w:val="1"/>
      <w:numFmt w:val="lowerRoman"/>
      <w:lvlText w:val="%3."/>
      <w:lvlJc w:val="right"/>
      <w:pPr>
        <w:ind w:left="1875" w:hanging="180"/>
      </w:pPr>
      <w:rPr>
        <w:rFonts w:cs="Times New Roman"/>
      </w:rPr>
    </w:lvl>
    <w:lvl w:ilvl="3" w:tplc="4470FBD0">
      <w:start w:val="1"/>
      <w:numFmt w:val="decimal"/>
      <w:lvlText w:val="%4."/>
      <w:lvlJc w:val="left"/>
      <w:pPr>
        <w:ind w:left="2595" w:hanging="360"/>
      </w:pPr>
      <w:rPr>
        <w:rFonts w:cs="Times New Roman"/>
      </w:rPr>
    </w:lvl>
    <w:lvl w:ilvl="4" w:tplc="DCBE0662">
      <w:start w:val="1"/>
      <w:numFmt w:val="lowerLetter"/>
      <w:lvlText w:val="%5."/>
      <w:lvlJc w:val="left"/>
      <w:pPr>
        <w:ind w:left="3315" w:hanging="360"/>
      </w:pPr>
      <w:rPr>
        <w:rFonts w:cs="Times New Roman"/>
      </w:rPr>
    </w:lvl>
    <w:lvl w:ilvl="5" w:tplc="5D306BA2">
      <w:start w:val="1"/>
      <w:numFmt w:val="lowerRoman"/>
      <w:lvlText w:val="%6."/>
      <w:lvlJc w:val="right"/>
      <w:pPr>
        <w:ind w:left="4035" w:hanging="180"/>
      </w:pPr>
      <w:rPr>
        <w:rFonts w:cs="Times New Roman"/>
      </w:rPr>
    </w:lvl>
    <w:lvl w:ilvl="6" w:tplc="AE2694D2">
      <w:start w:val="1"/>
      <w:numFmt w:val="decimal"/>
      <w:lvlText w:val="%7."/>
      <w:lvlJc w:val="left"/>
      <w:pPr>
        <w:ind w:left="4755" w:hanging="360"/>
      </w:pPr>
      <w:rPr>
        <w:rFonts w:cs="Times New Roman"/>
      </w:rPr>
    </w:lvl>
    <w:lvl w:ilvl="7" w:tplc="A1A6ED8A">
      <w:start w:val="1"/>
      <w:numFmt w:val="lowerLetter"/>
      <w:lvlText w:val="%8."/>
      <w:lvlJc w:val="left"/>
      <w:pPr>
        <w:ind w:left="5475" w:hanging="360"/>
      </w:pPr>
      <w:rPr>
        <w:rFonts w:cs="Times New Roman"/>
      </w:rPr>
    </w:lvl>
    <w:lvl w:ilvl="8" w:tplc="7CEE20E8">
      <w:start w:val="1"/>
      <w:numFmt w:val="lowerRoman"/>
      <w:lvlText w:val="%9."/>
      <w:lvlJc w:val="right"/>
      <w:pPr>
        <w:ind w:left="6195" w:hanging="180"/>
      </w:pPr>
      <w:rPr>
        <w:rFonts w:cs="Times New Roman"/>
      </w:rPr>
    </w:lvl>
  </w:abstractNum>
  <w:num w:numId="1" w16cid:durableId="2050760602">
    <w:abstractNumId w:val="0"/>
  </w:num>
  <w:num w:numId="2" w16cid:durableId="411125353">
    <w:abstractNumId w:val="7"/>
  </w:num>
  <w:num w:numId="3" w16cid:durableId="1724867438">
    <w:abstractNumId w:val="6"/>
  </w:num>
  <w:num w:numId="4" w16cid:durableId="1428383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5628075">
    <w:abstractNumId w:val="4"/>
  </w:num>
  <w:num w:numId="6" w16cid:durableId="603926867">
    <w:abstractNumId w:val="9"/>
  </w:num>
  <w:num w:numId="7" w16cid:durableId="155196962">
    <w:abstractNumId w:val="3"/>
  </w:num>
  <w:num w:numId="8" w16cid:durableId="1037242003">
    <w:abstractNumId w:val="1"/>
  </w:num>
  <w:num w:numId="9" w16cid:durableId="595939759">
    <w:abstractNumId w:val="5"/>
  </w:num>
  <w:num w:numId="10" w16cid:durableId="116223319">
    <w:abstractNumId w:val="8"/>
  </w:num>
  <w:num w:numId="11" w16cid:durableId="566494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98"/>
    <w:rsid w:val="00087757"/>
    <w:rsid w:val="000C67BD"/>
    <w:rsid w:val="00102A8C"/>
    <w:rsid w:val="001462E9"/>
    <w:rsid w:val="001634FF"/>
    <w:rsid w:val="00176EC2"/>
    <w:rsid w:val="001C2C9F"/>
    <w:rsid w:val="00201802"/>
    <w:rsid w:val="00202BB8"/>
    <w:rsid w:val="00243CF5"/>
    <w:rsid w:val="00274F4B"/>
    <w:rsid w:val="002C35B2"/>
    <w:rsid w:val="00315094"/>
    <w:rsid w:val="0034738D"/>
    <w:rsid w:val="00387D69"/>
    <w:rsid w:val="003B1E15"/>
    <w:rsid w:val="003B3452"/>
    <w:rsid w:val="00417C08"/>
    <w:rsid w:val="004738B9"/>
    <w:rsid w:val="004E1581"/>
    <w:rsid w:val="004E776B"/>
    <w:rsid w:val="005F05A7"/>
    <w:rsid w:val="005F5E04"/>
    <w:rsid w:val="00606F81"/>
    <w:rsid w:val="00607C22"/>
    <w:rsid w:val="00612665"/>
    <w:rsid w:val="00666BB8"/>
    <w:rsid w:val="00684391"/>
    <w:rsid w:val="006B53BA"/>
    <w:rsid w:val="006B5EA9"/>
    <w:rsid w:val="006C6BB7"/>
    <w:rsid w:val="007168E9"/>
    <w:rsid w:val="007E126F"/>
    <w:rsid w:val="00802F53"/>
    <w:rsid w:val="008125CB"/>
    <w:rsid w:val="0083614E"/>
    <w:rsid w:val="00870BF2"/>
    <w:rsid w:val="008D228E"/>
    <w:rsid w:val="008E5E76"/>
    <w:rsid w:val="008E5F90"/>
    <w:rsid w:val="00954DFD"/>
    <w:rsid w:val="009F0D32"/>
    <w:rsid w:val="00A02AC1"/>
    <w:rsid w:val="00A453FE"/>
    <w:rsid w:val="00A85486"/>
    <w:rsid w:val="00A85F6F"/>
    <w:rsid w:val="00B044FA"/>
    <w:rsid w:val="00B92CAE"/>
    <w:rsid w:val="00BE1EA4"/>
    <w:rsid w:val="00C163D0"/>
    <w:rsid w:val="00C3095E"/>
    <w:rsid w:val="00C36CCD"/>
    <w:rsid w:val="00C37464"/>
    <w:rsid w:val="00C66AD5"/>
    <w:rsid w:val="00C73A86"/>
    <w:rsid w:val="00C94134"/>
    <w:rsid w:val="00C9625D"/>
    <w:rsid w:val="00CB2C6C"/>
    <w:rsid w:val="00CF01E0"/>
    <w:rsid w:val="00D31554"/>
    <w:rsid w:val="00D36EE5"/>
    <w:rsid w:val="00D74517"/>
    <w:rsid w:val="00D86E67"/>
    <w:rsid w:val="00DD45F2"/>
    <w:rsid w:val="00DE72A3"/>
    <w:rsid w:val="00DE7498"/>
    <w:rsid w:val="00E22438"/>
    <w:rsid w:val="00E35E4B"/>
    <w:rsid w:val="00E73F81"/>
    <w:rsid w:val="00E91573"/>
    <w:rsid w:val="00EA2842"/>
    <w:rsid w:val="00EB00A6"/>
    <w:rsid w:val="00EB41B6"/>
    <w:rsid w:val="00F43569"/>
    <w:rsid w:val="00F63962"/>
    <w:rsid w:val="00F63A49"/>
    <w:rsid w:val="00F70455"/>
    <w:rsid w:val="00F92318"/>
    <w:rsid w:val="00F94F6B"/>
    <w:rsid w:val="00FE5FB5"/>
    <w:rsid w:val="00FF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E0E8"/>
  <w15:docId w15:val="{B46A03B7-9C24-42F1-A3C0-6D2D9085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98"/>
    <w:rPr>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98"/>
    <w:pPr>
      <w:ind w:left="720"/>
      <w:contextualSpacing/>
    </w:pPr>
  </w:style>
  <w:style w:type="paragraph" w:styleId="FootnoteText">
    <w:name w:val="footnote text"/>
    <w:basedOn w:val="Normal"/>
    <w:link w:val="FootnoteTextChar"/>
    <w:uiPriority w:val="99"/>
    <w:semiHidden/>
    <w:unhideWhenUsed/>
    <w:rsid w:val="00DE7498"/>
    <w:pPr>
      <w:spacing w:after="0" w:line="240" w:lineRule="auto"/>
    </w:pPr>
  </w:style>
  <w:style w:type="character" w:customStyle="1" w:styleId="FootnoteTextChar">
    <w:name w:val="Footnote Text Char"/>
    <w:basedOn w:val="DefaultParagraphFont"/>
    <w:link w:val="FootnoteText"/>
    <w:uiPriority w:val="99"/>
    <w:semiHidden/>
    <w:rsid w:val="00DE7498"/>
    <w:rPr>
      <w:sz w:val="20"/>
      <w:lang w:eastAsia="en-GB"/>
    </w:rPr>
  </w:style>
  <w:style w:type="character" w:styleId="FootnoteReference">
    <w:name w:val="footnote reference"/>
    <w:basedOn w:val="DefaultParagraphFont"/>
    <w:uiPriority w:val="99"/>
    <w:semiHidden/>
    <w:unhideWhenUsed/>
    <w:rsid w:val="00DE7498"/>
    <w:rPr>
      <w:vertAlign w:val="superscript"/>
    </w:rPr>
  </w:style>
  <w:style w:type="paragraph" w:styleId="Header">
    <w:name w:val="header"/>
    <w:basedOn w:val="Normal"/>
    <w:link w:val="HeaderChar"/>
    <w:uiPriority w:val="99"/>
    <w:unhideWhenUsed/>
    <w:rsid w:val="005F0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A7"/>
    <w:rPr>
      <w:sz w:val="20"/>
      <w:lang w:eastAsia="en-GB"/>
    </w:rPr>
  </w:style>
  <w:style w:type="paragraph" w:styleId="Footer">
    <w:name w:val="footer"/>
    <w:basedOn w:val="Normal"/>
    <w:link w:val="FooterChar"/>
    <w:uiPriority w:val="99"/>
    <w:unhideWhenUsed/>
    <w:rsid w:val="005F0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A7"/>
    <w:rPr>
      <w:sz w:val="20"/>
      <w:lang w:eastAsia="en-GB"/>
    </w:rPr>
  </w:style>
  <w:style w:type="paragraph" w:styleId="BalloonText">
    <w:name w:val="Balloon Text"/>
    <w:basedOn w:val="Normal"/>
    <w:link w:val="BalloonTextChar"/>
    <w:uiPriority w:val="99"/>
    <w:semiHidden/>
    <w:unhideWhenUsed/>
    <w:rsid w:val="005F0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A7"/>
    <w:rPr>
      <w:rFonts w:ascii="Tahoma" w:hAnsi="Tahoma" w:cs="Tahoma"/>
      <w:sz w:val="16"/>
      <w:szCs w:val="16"/>
      <w:lang w:eastAsia="en-GB"/>
    </w:rPr>
  </w:style>
  <w:style w:type="character" w:styleId="CommentReference">
    <w:name w:val="annotation reference"/>
    <w:basedOn w:val="DefaultParagraphFont"/>
    <w:uiPriority w:val="99"/>
    <w:semiHidden/>
    <w:unhideWhenUsed/>
    <w:rsid w:val="00201802"/>
    <w:rPr>
      <w:sz w:val="16"/>
      <w:szCs w:val="16"/>
    </w:rPr>
  </w:style>
  <w:style w:type="paragraph" w:styleId="CommentText">
    <w:name w:val="annotation text"/>
    <w:basedOn w:val="Normal"/>
    <w:link w:val="CommentTextChar"/>
    <w:uiPriority w:val="99"/>
    <w:unhideWhenUsed/>
    <w:rsid w:val="00201802"/>
    <w:pPr>
      <w:spacing w:line="240" w:lineRule="auto"/>
    </w:pPr>
  </w:style>
  <w:style w:type="character" w:customStyle="1" w:styleId="CommentTextChar">
    <w:name w:val="Comment Text Char"/>
    <w:basedOn w:val="DefaultParagraphFont"/>
    <w:link w:val="CommentText"/>
    <w:uiPriority w:val="99"/>
    <w:rsid w:val="00201802"/>
    <w:rPr>
      <w:sz w:val="20"/>
      <w:lang w:eastAsia="en-GB"/>
    </w:rPr>
  </w:style>
  <w:style w:type="paragraph" w:styleId="CommentSubject">
    <w:name w:val="annotation subject"/>
    <w:basedOn w:val="CommentText"/>
    <w:next w:val="CommentText"/>
    <w:link w:val="CommentSubjectChar"/>
    <w:uiPriority w:val="99"/>
    <w:semiHidden/>
    <w:unhideWhenUsed/>
    <w:rsid w:val="00201802"/>
    <w:rPr>
      <w:b/>
      <w:bCs/>
    </w:rPr>
  </w:style>
  <w:style w:type="character" w:customStyle="1" w:styleId="CommentSubjectChar">
    <w:name w:val="Comment Subject Char"/>
    <w:basedOn w:val="CommentTextChar"/>
    <w:link w:val="CommentSubject"/>
    <w:uiPriority w:val="99"/>
    <w:semiHidden/>
    <w:rsid w:val="00201802"/>
    <w:rPr>
      <w:b/>
      <w:bC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48</Value>
      <Value>26</Value>
      <Value>3</Value>
    </TaxCatchAll>
    <ArticleName xmlns="fc73922b-ee12-4d47-9fe9-79c993e89b0c" xsi:nil="true"/>
    <_dlc_DocId xmlns="fc73922b-ee12-4d47-9fe9-79c993e89b0c">TX6SW6SUV4E4-1977373330-296</_dlc_DocId>
    <_dlc_DocIdUrl xmlns="fc73922b-ee12-4d47-9fe9-79c993e89b0c">
      <Url>https://electoralcommissionorguk.sharepoint.com/teams/TS_Sec/_layouts/15/DocIdRedir.aspx?ID=TX6SW6SUV4E4-1977373330-296</Url>
      <Description>TX6SW6SUV4E4-1977373330-296</Description>
    </_dlc_DocIdUrl>
    <_dlc_DocIdPersistId xmlns="fc73922b-ee12-4d47-9fe9-79c993e89b0c" xsi:nil="true"/>
    <Owner xmlns="fc73922b-ee12-4d47-9fe9-79c993e89b0c">
      <UserInfo>
        <DisplayName>Binnie Goh</DisplayName>
        <AccountId>37</AccountId>
        <AccountType/>
      </UserInfo>
    </Owner>
    <b78556a5ab004a83993a9660bce6152c xmlns="fc73922b-ee12-4d47-9fe9-79c993e89b0c">
      <Terms xmlns="http://schemas.microsoft.com/office/infopath/2007/PartnerControl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Legal advice</TermName>
          <TermId xmlns="http://schemas.microsoft.com/office/infopath/2007/PartnerControls">2b489d1a-d33f-40df-b3a8-0b1366117944</TermId>
        </TermInfo>
      </Terms>
    </k8d136f7c151492e9a8c9a3ff7eb0306>
    <o4f6c70134b64a99b8a9c18b6cabc6d3 xmlns="fc73922b-ee12-4d47-9fe9-79c993e89b0c">
      <Terms xmlns="http://schemas.microsoft.com/office/infopath/2007/PartnerControls"/>
    </o4f6c70134b64a99b8a9c18b6cabc6d3>
    <j4f12893337a4eac9e2d2c696f543b80 xmlns="fc73922b-ee12-4d47-9fe9-79c993e89b0c">
      <Terms xmlns="http://schemas.microsoft.com/office/infopath/2007/PartnerControls"/>
    </j4f12893337a4eac9e2d2c696f543b80>
    <Original_x0020_Creator xmlns="0df75323-326a-467b-ac9b-23bd9960eafb">Kairen Zonena</Original_x0020_Creator>
    <Original_x0020_Modified_x0020_By xmlns="0df75323-326a-467b-ac9b-23bd9960eafb">Kairen Zonena</Original_x0020_Modified_x0020_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36DF7-2041-457C-B766-361BA9DD4C6C}">
  <ds:schemaRefs>
    <ds:schemaRef ds:uri="http://schemas.microsoft.com/sharepoint/v3/contenttype/forms"/>
  </ds:schemaRefs>
</ds:datastoreItem>
</file>

<file path=customXml/itemProps2.xml><?xml version="1.0" encoding="utf-8"?>
<ds:datastoreItem xmlns:ds="http://schemas.openxmlformats.org/officeDocument/2006/customXml" ds:itemID="{8A55E295-7A6E-4832-B6CD-363053D5CC4E}">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f75323-326a-467b-ac9b-23bd9960eafb"/>
    <ds:schemaRef ds:uri="fc73922b-ee12-4d47-9fe9-79c993e89b0c"/>
    <ds:schemaRef ds:uri="http://www.w3.org/XML/1998/namespace"/>
  </ds:schemaRefs>
</ds:datastoreItem>
</file>

<file path=customXml/itemProps3.xml><?xml version="1.0" encoding="utf-8"?>
<ds:datastoreItem xmlns:ds="http://schemas.openxmlformats.org/officeDocument/2006/customXml" ds:itemID="{FC3977B6-0725-4FF9-A310-1EE06D1314F1}">
  <ds:schemaRefs>
    <ds:schemaRef ds:uri="http://schemas.openxmlformats.org/officeDocument/2006/bibliography"/>
  </ds:schemaRefs>
</ds:datastoreItem>
</file>

<file path=customXml/itemProps4.xml><?xml version="1.0" encoding="utf-8"?>
<ds:datastoreItem xmlns:ds="http://schemas.openxmlformats.org/officeDocument/2006/customXml" ds:itemID="{973479AC-57E8-4A0C-83CF-D38351075612}">
  <ds:schemaRefs>
    <ds:schemaRef ds:uri="http://schemas.microsoft.com/sharepoint/events"/>
  </ds:schemaRefs>
</ds:datastoreItem>
</file>

<file path=customXml/itemProps5.xml><?xml version="1.0" encoding="utf-8"?>
<ds:datastoreItem xmlns:ds="http://schemas.openxmlformats.org/officeDocument/2006/customXml" ds:itemID="{F4BBB6BB-34CA-4DDC-86DE-7588E3BB3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1A New third party regulatory framework - Governance implications for Commissioners</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Appendix 1A Third party regulatory framework 2023 review</dc:title>
  <dc:creator>Bob Posner</dc:creator>
  <cp:lastModifiedBy>Matt Pledger</cp:lastModifiedBy>
  <cp:revision>2</cp:revision>
  <cp:lastPrinted>2023-03-02T11:06:00Z</cp:lastPrinted>
  <dcterms:created xsi:type="dcterms:W3CDTF">2024-08-14T14:21:00Z</dcterms:created>
  <dcterms:modified xsi:type="dcterms:W3CDTF">2024-08-14T14:21:00Z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
  </property>
  <property fmtid="{D5CDD505-2E9C-101B-9397-08002B2CF9AE}" pid="4" name="Board Paper Subject">
    <vt:lpwstr/>
  </property>
  <property fmtid="{D5CDD505-2E9C-101B-9397-08002B2CF9AE}" pid="5" name="Calendar Year">
    <vt:lpwstr/>
  </property>
  <property fmtid="{D5CDD505-2E9C-101B-9397-08002B2CF9AE}" pid="6" name="Calendar_x0020_Year">
    <vt:lpwstr/>
  </property>
  <property fmtid="{D5CDD505-2E9C-101B-9397-08002B2CF9AE}" pid="7" name="ContentTypeId">
    <vt:lpwstr>0x010100ADF3F7613D804E4AA23BBB47A84419BF060096FEA3978A81A24984033BA332F986A6</vt:lpwstr>
  </property>
  <property fmtid="{D5CDD505-2E9C-101B-9397-08002B2CF9AE}" pid="8" name="Countries">
    <vt:lpwstr>3;#UK wide|6834a7d2-fb91-47b3-99a3-3181df52306f</vt:lpwstr>
  </property>
  <property fmtid="{D5CDD505-2E9C-101B-9397-08002B2CF9AE}" pid="9" name="d7e05c9ad6914a3c91fc7c6d52d321c1">
    <vt:lpwstr/>
  </property>
  <property fmtid="{D5CDD505-2E9C-101B-9397-08002B2CF9AE}" pid="10" name="Directorate">
    <vt:lpwstr/>
  </property>
  <property fmtid="{D5CDD505-2E9C-101B-9397-08002B2CF9AE}" pid="11" name="DocumentOwner">
    <vt:lpwstr/>
  </property>
  <property fmtid="{D5CDD505-2E9C-101B-9397-08002B2CF9AE}" pid="12" name="ECSubject">
    <vt:lpwstr>48;#Legal advice|2b489d1a-d33f-40df-b3a8-0b1366117944</vt:lpwstr>
  </property>
  <property fmtid="{D5CDD505-2E9C-101B-9397-08002B2CF9AE}" pid="13" name="Electoral Event">
    <vt:lpwstr/>
  </property>
  <property fmtid="{D5CDD505-2E9C-101B-9397-08002B2CF9AE}" pid="14" name="f9169cbde8cd43d083a6796edf077c19">
    <vt:lpwstr/>
  </property>
  <property fmtid="{D5CDD505-2E9C-101B-9397-08002B2CF9AE}" pid="15" name="Financial year">
    <vt:lpwstr/>
  </property>
  <property fmtid="{D5CDD505-2E9C-101B-9397-08002B2CF9AE}" pid="16" name="Financial_x0020_year">
    <vt:lpwstr/>
  </property>
  <property fmtid="{D5CDD505-2E9C-101B-9397-08002B2CF9AE}" pid="17" name="GPMS marking">
    <vt:lpwstr>801;#Official|77462fb2-11a1-4cd5-8628-4e6081b9477e</vt:lpwstr>
  </property>
  <property fmtid="{D5CDD505-2E9C-101B-9397-08002B2CF9AE}" pid="18" name="GPMS_x0020_marking">
    <vt:lpwstr>801;#Official|77462fb2-11a1-4cd5-8628-4e6081b9477e</vt:lpwstr>
  </property>
  <property fmtid="{D5CDD505-2E9C-101B-9397-08002B2CF9AE}" pid="19" name="LINKTEK-CHUNK-1">
    <vt:lpwstr>010021{"F":2,"I":"0BBF-B39D-2266-EDA0"}</vt:lpwstr>
  </property>
  <property fmtid="{D5CDD505-2E9C-101B-9397-08002B2CF9AE}" pid="20" name="Month">
    <vt:lpwstr/>
  </property>
  <property fmtid="{D5CDD505-2E9C-101B-9397-08002B2CF9AE}" pid="21" name="n0ecf30723e04ad4a18670a4e17a3129">
    <vt:lpwstr/>
  </property>
  <property fmtid="{D5CDD505-2E9C-101B-9397-08002B2CF9AE}" pid="22" name="PeriodOfReview">
    <vt:lpwstr/>
  </property>
  <property fmtid="{D5CDD505-2E9C-101B-9397-08002B2CF9AE}" pid="23" name="ProtectiveMarking">
    <vt:lpwstr>Not protectively marked</vt:lpwstr>
  </property>
  <property fmtid="{D5CDD505-2E9C-101B-9397-08002B2CF9AE}" pid="24" name="TaxKeyword">
    <vt:lpwstr/>
  </property>
  <property fmtid="{D5CDD505-2E9C-101B-9397-08002B2CF9AE}" pid="25" name="TaxKeywordTaxHTField">
    <vt:lpwstr/>
  </property>
  <property fmtid="{D5CDD505-2E9C-101B-9397-08002B2CF9AE}" pid="26" name="Team">
    <vt:lpwstr/>
  </property>
  <property fmtid="{D5CDD505-2E9C-101B-9397-08002B2CF9AE}" pid="27" name="_dlc_DocId">
    <vt:lpwstr>FNCT-214-60</vt:lpwstr>
  </property>
  <property fmtid="{D5CDD505-2E9C-101B-9397-08002B2CF9AE}" pid="28" name="_dlc_DocIdItemGuid">
    <vt:lpwstr>1830ca84-bd09-44a5-a069-86f420dae2dd</vt:lpwstr>
  </property>
  <property fmtid="{D5CDD505-2E9C-101B-9397-08002B2CF9AE}" pid="29" name="_dlc_DocIdUrl">
    <vt:lpwstr>http://skynet/dm/Functions/Sec/_layouts/DocIdRedir.aspx?ID=FNCT-214-60, FNCT-214-60</vt:lpwstr>
  </property>
</Properties>
</file>