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9BDE40" w14:textId="77777777" w:rsidR="00C042D3" w:rsidRDefault="001802D1" w:rsidP="00DC1893">
      <w:pPr>
        <w:pStyle w:val="Coverandsuperheadline"/>
      </w:pPr>
      <w:r>
        <w:t>Anti-Fraud and Anti-Bribery Policy</w:t>
      </w:r>
    </w:p>
    <w:p w14:paraId="12AA216F" w14:textId="38AF08B5" w:rsidR="00DC1893" w:rsidRDefault="001802D1" w:rsidP="00DC1893">
      <w:pPr>
        <w:pStyle w:val="Coversubtitle"/>
      </w:pPr>
      <w:r>
        <w:t>Updated June 2023</w:t>
      </w:r>
    </w:p>
    <w:p w14:paraId="23D14D2F" w14:textId="77777777" w:rsidR="00DC1893" w:rsidRDefault="00DC1893" w:rsidP="00C56B9C">
      <w:pPr>
        <w:pStyle w:val="Body"/>
      </w:pPr>
    </w:p>
    <w:p w14:paraId="2F8ABDD8" w14:textId="77777777" w:rsidR="00DC1893" w:rsidRDefault="001802D1" w:rsidP="00C56B9C">
      <w:pPr>
        <w:pStyle w:val="Body"/>
      </w:pPr>
      <w:r w:rsidRPr="00DC1893">
        <w:t>Document Revision History and Key Facts</w:t>
      </w:r>
    </w:p>
    <w:tbl>
      <w:tblPr>
        <w:tblStyle w:val="ECTablewithborders"/>
        <w:tblW w:w="0" w:type="auto"/>
        <w:tblLook w:val="04A0" w:firstRow="1" w:lastRow="0" w:firstColumn="1" w:lastColumn="0" w:noHBand="0" w:noVBand="1"/>
      </w:tblPr>
      <w:tblGrid>
        <w:gridCol w:w="970"/>
        <w:gridCol w:w="933"/>
        <w:gridCol w:w="1688"/>
        <w:gridCol w:w="1371"/>
        <w:gridCol w:w="904"/>
        <w:gridCol w:w="3721"/>
      </w:tblGrid>
      <w:tr w:rsidR="0074595D" w14:paraId="1587A42A" w14:textId="77777777" w:rsidTr="0074595D">
        <w:trPr>
          <w:cnfStyle w:val="100000000000" w:firstRow="1" w:lastRow="0" w:firstColumn="0" w:lastColumn="0" w:oddVBand="0" w:evenVBand="0" w:oddHBand="0" w:evenHBand="0" w:firstRowFirstColumn="0" w:firstRowLastColumn="0" w:lastRowFirstColumn="0" w:lastRowLastColumn="0"/>
        </w:trPr>
        <w:tc>
          <w:tcPr>
            <w:tcW w:w="970" w:type="dxa"/>
          </w:tcPr>
          <w:p w14:paraId="78A1E307" w14:textId="77777777" w:rsidR="00DC1893" w:rsidRPr="00DC1893" w:rsidRDefault="001802D1" w:rsidP="00DC1893">
            <w:pPr>
              <w:pStyle w:val="Tablecolumnheading"/>
              <w:rPr>
                <w:sz w:val="20"/>
                <w:szCs w:val="20"/>
              </w:rPr>
            </w:pPr>
            <w:r w:rsidRPr="00DC1893">
              <w:rPr>
                <w:sz w:val="20"/>
                <w:szCs w:val="20"/>
              </w:rPr>
              <w:t>Version</w:t>
            </w:r>
          </w:p>
        </w:tc>
        <w:tc>
          <w:tcPr>
            <w:tcW w:w="933" w:type="dxa"/>
          </w:tcPr>
          <w:p w14:paraId="758F8265" w14:textId="77777777" w:rsidR="00DC1893" w:rsidRPr="00DC1893" w:rsidRDefault="001802D1" w:rsidP="00DC1893">
            <w:pPr>
              <w:pStyle w:val="Tablecolumnheading"/>
              <w:rPr>
                <w:sz w:val="20"/>
                <w:szCs w:val="20"/>
              </w:rPr>
            </w:pPr>
            <w:r w:rsidRPr="00DC1893">
              <w:rPr>
                <w:sz w:val="20"/>
                <w:szCs w:val="20"/>
              </w:rPr>
              <w:t>Issue date</w:t>
            </w:r>
          </w:p>
        </w:tc>
        <w:tc>
          <w:tcPr>
            <w:tcW w:w="1688" w:type="dxa"/>
          </w:tcPr>
          <w:p w14:paraId="1D8A4A77" w14:textId="77777777" w:rsidR="00DC1893" w:rsidRPr="00DC1893" w:rsidRDefault="001802D1" w:rsidP="00DC1893">
            <w:pPr>
              <w:pStyle w:val="Tablecolumnheading"/>
              <w:rPr>
                <w:sz w:val="20"/>
                <w:szCs w:val="20"/>
              </w:rPr>
            </w:pPr>
            <w:r w:rsidRPr="00DC1893">
              <w:rPr>
                <w:sz w:val="20"/>
                <w:szCs w:val="20"/>
              </w:rPr>
              <w:t>Policy owner</w:t>
            </w:r>
          </w:p>
        </w:tc>
        <w:tc>
          <w:tcPr>
            <w:tcW w:w="1371" w:type="dxa"/>
          </w:tcPr>
          <w:p w14:paraId="5D576EC0" w14:textId="77777777" w:rsidR="00DC1893" w:rsidRPr="00DC1893" w:rsidRDefault="001802D1" w:rsidP="00DC1893">
            <w:pPr>
              <w:pStyle w:val="Tablecolumnheading"/>
              <w:rPr>
                <w:sz w:val="20"/>
                <w:szCs w:val="20"/>
              </w:rPr>
            </w:pPr>
            <w:r w:rsidRPr="00DC1893">
              <w:rPr>
                <w:sz w:val="20"/>
                <w:szCs w:val="20"/>
              </w:rPr>
              <w:t>Policy type: statutory/ discretionary</w:t>
            </w:r>
          </w:p>
        </w:tc>
        <w:tc>
          <w:tcPr>
            <w:tcW w:w="904" w:type="dxa"/>
          </w:tcPr>
          <w:p w14:paraId="7E40AC70" w14:textId="77777777" w:rsidR="00DC1893" w:rsidRPr="00DC1893" w:rsidRDefault="001802D1" w:rsidP="00DC1893">
            <w:pPr>
              <w:pStyle w:val="Tablecolumnheading"/>
              <w:rPr>
                <w:sz w:val="20"/>
                <w:szCs w:val="20"/>
              </w:rPr>
            </w:pPr>
            <w:r w:rsidRPr="00DC1893">
              <w:rPr>
                <w:sz w:val="20"/>
                <w:szCs w:val="20"/>
              </w:rPr>
              <w:t>Date of next review</w:t>
            </w:r>
          </w:p>
        </w:tc>
        <w:tc>
          <w:tcPr>
            <w:tcW w:w="3721" w:type="dxa"/>
          </w:tcPr>
          <w:p w14:paraId="12244C16" w14:textId="77777777" w:rsidR="00DC1893" w:rsidRPr="00DC1893" w:rsidRDefault="001802D1" w:rsidP="00DC1893">
            <w:pPr>
              <w:pStyle w:val="Tablecolumnheading"/>
              <w:rPr>
                <w:sz w:val="20"/>
                <w:szCs w:val="20"/>
              </w:rPr>
            </w:pPr>
            <w:r w:rsidRPr="00DC1893">
              <w:rPr>
                <w:sz w:val="20"/>
                <w:szCs w:val="20"/>
              </w:rPr>
              <w:t>Comments/ brief description of main changes in this revision</w:t>
            </w:r>
          </w:p>
        </w:tc>
      </w:tr>
      <w:tr w:rsidR="0074595D" w14:paraId="5C6ABB38" w14:textId="77777777" w:rsidTr="0074595D">
        <w:tc>
          <w:tcPr>
            <w:tcW w:w="970" w:type="dxa"/>
          </w:tcPr>
          <w:p w14:paraId="0FB18D44" w14:textId="0F30B5FA" w:rsidR="00DC1893" w:rsidRPr="00DC1893" w:rsidRDefault="001802D1" w:rsidP="00DC1893">
            <w:pPr>
              <w:pStyle w:val="TableBody"/>
              <w:rPr>
                <w:sz w:val="20"/>
                <w:szCs w:val="20"/>
              </w:rPr>
            </w:pPr>
            <w:r>
              <w:rPr>
                <w:sz w:val="20"/>
                <w:szCs w:val="20"/>
              </w:rPr>
              <w:t>1</w:t>
            </w:r>
          </w:p>
        </w:tc>
        <w:tc>
          <w:tcPr>
            <w:tcW w:w="933" w:type="dxa"/>
          </w:tcPr>
          <w:p w14:paraId="29853169" w14:textId="77777777" w:rsidR="00DC1893" w:rsidRPr="00DC1893" w:rsidRDefault="00DC1893" w:rsidP="00DC1893">
            <w:pPr>
              <w:pStyle w:val="TableBody"/>
              <w:rPr>
                <w:sz w:val="20"/>
                <w:szCs w:val="20"/>
              </w:rPr>
            </w:pPr>
          </w:p>
        </w:tc>
        <w:tc>
          <w:tcPr>
            <w:tcW w:w="1688" w:type="dxa"/>
          </w:tcPr>
          <w:p w14:paraId="75C55C76" w14:textId="213030EA" w:rsidR="00DC1893" w:rsidRPr="00DC1893" w:rsidRDefault="001802D1" w:rsidP="0084330E">
            <w:pPr>
              <w:pStyle w:val="TableBody"/>
              <w:rPr>
                <w:sz w:val="20"/>
                <w:szCs w:val="20"/>
              </w:rPr>
            </w:pPr>
            <w:r w:rsidRPr="00DC1893">
              <w:rPr>
                <w:sz w:val="20"/>
                <w:szCs w:val="20"/>
              </w:rPr>
              <w:t>Director, F</w:t>
            </w:r>
            <w:r w:rsidR="0084330E">
              <w:rPr>
                <w:sz w:val="20"/>
                <w:szCs w:val="20"/>
              </w:rPr>
              <w:t xml:space="preserve">inance and </w:t>
            </w:r>
            <w:r w:rsidRPr="00DC1893">
              <w:rPr>
                <w:sz w:val="20"/>
                <w:szCs w:val="20"/>
              </w:rPr>
              <w:t>C</w:t>
            </w:r>
            <w:r w:rsidR="0084330E">
              <w:rPr>
                <w:sz w:val="20"/>
                <w:szCs w:val="20"/>
              </w:rPr>
              <w:t xml:space="preserve">orporate </w:t>
            </w:r>
            <w:r w:rsidR="0084330E" w:rsidRPr="00DC1893">
              <w:rPr>
                <w:sz w:val="20"/>
                <w:szCs w:val="20"/>
              </w:rPr>
              <w:t>S</w:t>
            </w:r>
            <w:r w:rsidR="0084330E">
              <w:rPr>
                <w:sz w:val="20"/>
                <w:szCs w:val="20"/>
              </w:rPr>
              <w:t>ervices and</w:t>
            </w:r>
            <w:r w:rsidR="003A7CA0">
              <w:rPr>
                <w:sz w:val="20"/>
                <w:szCs w:val="20"/>
              </w:rPr>
              <w:t xml:space="preserve"> </w:t>
            </w:r>
            <w:r w:rsidRPr="00DC1893">
              <w:rPr>
                <w:sz w:val="20"/>
                <w:szCs w:val="20"/>
              </w:rPr>
              <w:t>General Counsel</w:t>
            </w:r>
          </w:p>
        </w:tc>
        <w:tc>
          <w:tcPr>
            <w:tcW w:w="1371" w:type="dxa"/>
          </w:tcPr>
          <w:p w14:paraId="2F791A79" w14:textId="12AC36A7" w:rsidR="00DC1893" w:rsidRPr="00DC1893" w:rsidRDefault="001802D1" w:rsidP="00DC1893">
            <w:pPr>
              <w:pStyle w:val="TableBody"/>
              <w:rPr>
                <w:sz w:val="20"/>
                <w:szCs w:val="20"/>
              </w:rPr>
            </w:pPr>
            <w:r>
              <w:rPr>
                <w:sz w:val="20"/>
                <w:szCs w:val="20"/>
              </w:rPr>
              <w:t>Statutory</w:t>
            </w:r>
          </w:p>
        </w:tc>
        <w:tc>
          <w:tcPr>
            <w:tcW w:w="904" w:type="dxa"/>
          </w:tcPr>
          <w:p w14:paraId="53F95452" w14:textId="59B4C4A4" w:rsidR="00DC1893" w:rsidRPr="00DC1893" w:rsidRDefault="001802D1" w:rsidP="00DA6B9A">
            <w:pPr>
              <w:pStyle w:val="TableBody"/>
              <w:rPr>
                <w:sz w:val="20"/>
                <w:szCs w:val="20"/>
              </w:rPr>
            </w:pPr>
            <w:r>
              <w:rPr>
                <w:sz w:val="20"/>
                <w:szCs w:val="20"/>
              </w:rPr>
              <w:t>May 2023</w:t>
            </w:r>
          </w:p>
        </w:tc>
        <w:tc>
          <w:tcPr>
            <w:tcW w:w="3721" w:type="dxa"/>
          </w:tcPr>
          <w:p w14:paraId="1F24A8C1" w14:textId="77777777" w:rsidR="00DC1893" w:rsidRPr="00DC1893" w:rsidRDefault="001802D1" w:rsidP="00DC1893">
            <w:pPr>
              <w:pStyle w:val="TableBody"/>
              <w:rPr>
                <w:sz w:val="20"/>
                <w:szCs w:val="20"/>
              </w:rPr>
            </w:pPr>
            <w:r w:rsidRPr="00DC1893">
              <w:rPr>
                <w:sz w:val="20"/>
                <w:szCs w:val="20"/>
              </w:rPr>
              <w:t>Combining previous policies, aligning with government functional standard, minor updating</w:t>
            </w:r>
          </w:p>
        </w:tc>
      </w:tr>
      <w:tr w:rsidR="0074595D" w14:paraId="24273DD9" w14:textId="77777777" w:rsidTr="0074595D">
        <w:tc>
          <w:tcPr>
            <w:tcW w:w="970" w:type="dxa"/>
          </w:tcPr>
          <w:p w14:paraId="19B086B5" w14:textId="7D2CB697" w:rsidR="00B358C1" w:rsidRDefault="001802D1" w:rsidP="00B358C1">
            <w:pPr>
              <w:pStyle w:val="TableBody"/>
              <w:rPr>
                <w:sz w:val="20"/>
                <w:szCs w:val="20"/>
              </w:rPr>
            </w:pPr>
            <w:r>
              <w:rPr>
                <w:sz w:val="20"/>
                <w:szCs w:val="20"/>
              </w:rPr>
              <w:t>1.1</w:t>
            </w:r>
          </w:p>
        </w:tc>
        <w:tc>
          <w:tcPr>
            <w:tcW w:w="933" w:type="dxa"/>
          </w:tcPr>
          <w:p w14:paraId="242C8308" w14:textId="77777777" w:rsidR="00B358C1" w:rsidRPr="00DC1893" w:rsidRDefault="00B358C1" w:rsidP="00B358C1">
            <w:pPr>
              <w:pStyle w:val="TableBody"/>
              <w:rPr>
                <w:sz w:val="20"/>
                <w:szCs w:val="20"/>
              </w:rPr>
            </w:pPr>
          </w:p>
        </w:tc>
        <w:tc>
          <w:tcPr>
            <w:tcW w:w="1688" w:type="dxa"/>
          </w:tcPr>
          <w:p w14:paraId="5AAB8300" w14:textId="78B04DF0" w:rsidR="00B358C1" w:rsidRPr="00DC1893" w:rsidRDefault="001802D1" w:rsidP="00B358C1">
            <w:pPr>
              <w:pStyle w:val="TableBody"/>
              <w:rPr>
                <w:sz w:val="20"/>
                <w:szCs w:val="20"/>
              </w:rPr>
            </w:pPr>
            <w:r>
              <w:rPr>
                <w:sz w:val="20"/>
                <w:szCs w:val="20"/>
              </w:rPr>
              <w:t xml:space="preserve">Finance </w:t>
            </w:r>
            <w:r w:rsidRPr="00DC1893">
              <w:rPr>
                <w:sz w:val="20"/>
                <w:szCs w:val="20"/>
              </w:rPr>
              <w:t>Director</w:t>
            </w:r>
            <w:r>
              <w:rPr>
                <w:sz w:val="20"/>
                <w:szCs w:val="20"/>
              </w:rPr>
              <w:t xml:space="preserve"> and </w:t>
            </w:r>
            <w:r w:rsidRPr="00DC1893">
              <w:rPr>
                <w:sz w:val="20"/>
                <w:szCs w:val="20"/>
              </w:rPr>
              <w:t>General Counsel</w:t>
            </w:r>
          </w:p>
        </w:tc>
        <w:tc>
          <w:tcPr>
            <w:tcW w:w="1371" w:type="dxa"/>
          </w:tcPr>
          <w:p w14:paraId="00CD8094" w14:textId="697872B1" w:rsidR="00B358C1" w:rsidRDefault="001802D1" w:rsidP="00B358C1">
            <w:pPr>
              <w:pStyle w:val="TableBody"/>
              <w:rPr>
                <w:sz w:val="20"/>
                <w:szCs w:val="20"/>
              </w:rPr>
            </w:pPr>
            <w:r>
              <w:rPr>
                <w:sz w:val="20"/>
                <w:szCs w:val="20"/>
              </w:rPr>
              <w:t>Statutory</w:t>
            </w:r>
          </w:p>
        </w:tc>
        <w:tc>
          <w:tcPr>
            <w:tcW w:w="904" w:type="dxa"/>
          </w:tcPr>
          <w:p w14:paraId="66CA5E9E" w14:textId="2C8BDAC1" w:rsidR="00B358C1" w:rsidRDefault="001802D1" w:rsidP="00B358C1">
            <w:pPr>
              <w:pStyle w:val="TableBody"/>
              <w:rPr>
                <w:sz w:val="20"/>
                <w:szCs w:val="20"/>
              </w:rPr>
            </w:pPr>
            <w:r>
              <w:rPr>
                <w:sz w:val="20"/>
                <w:szCs w:val="20"/>
              </w:rPr>
              <w:t>May 2024</w:t>
            </w:r>
          </w:p>
        </w:tc>
        <w:tc>
          <w:tcPr>
            <w:tcW w:w="3721" w:type="dxa"/>
          </w:tcPr>
          <w:p w14:paraId="7C9CBDB8" w14:textId="0A4D24A8" w:rsidR="00B358C1" w:rsidRPr="00C50A24" w:rsidRDefault="001802D1" w:rsidP="00B358C1">
            <w:pPr>
              <w:pStyle w:val="TableBody"/>
              <w:rPr>
                <w:sz w:val="20"/>
                <w:szCs w:val="20"/>
                <w:highlight w:val="yellow"/>
              </w:rPr>
            </w:pPr>
            <w:r w:rsidRPr="00D64918">
              <w:rPr>
                <w:sz w:val="20"/>
                <w:szCs w:val="20"/>
              </w:rPr>
              <w:t>Minor updating</w:t>
            </w:r>
          </w:p>
        </w:tc>
      </w:tr>
    </w:tbl>
    <w:p w14:paraId="3D48E7BE" w14:textId="77777777" w:rsidR="00DC1893" w:rsidRDefault="00DC1893" w:rsidP="00C56B9C">
      <w:pPr>
        <w:pStyle w:val="Body"/>
        <w:sectPr w:rsidR="00DC1893" w:rsidSect="00481897">
          <w:footerReference w:type="default" r:id="rId12"/>
          <w:headerReference w:type="first" r:id="rId13"/>
          <w:pgSz w:w="11906" w:h="16838" w:code="9"/>
          <w:pgMar w:top="1928" w:right="714" w:bottom="714" w:left="1605" w:header="567" w:footer="397" w:gutter="0"/>
          <w:cols w:space="708"/>
          <w:titlePg/>
          <w:docGrid w:linePitch="360"/>
        </w:sectPr>
      </w:pPr>
    </w:p>
    <w:sdt>
      <w:sdtPr>
        <w:rPr>
          <w:rFonts w:ascii="Arial" w:eastAsiaTheme="minorHAnsi" w:hAnsi="Arial" w:cstheme="minorBidi"/>
          <w:color w:val="003057" w:themeColor="text1"/>
          <w:sz w:val="24"/>
          <w:szCs w:val="24"/>
        </w:rPr>
        <w:id w:val="-233783548"/>
        <w:docPartObj>
          <w:docPartGallery w:val="Table of Contents"/>
          <w:docPartUnique/>
        </w:docPartObj>
      </w:sdtPr>
      <w:sdtEndPr>
        <w:rPr>
          <w:b/>
          <w:bCs/>
          <w:noProof/>
        </w:rPr>
      </w:sdtEndPr>
      <w:sdtContent>
        <w:p w14:paraId="23C25210" w14:textId="446F083F" w:rsidR="00692538" w:rsidRDefault="001802D1">
          <w:pPr>
            <w:pStyle w:val="TOCHeading"/>
          </w:pPr>
          <w:r>
            <w:t>Contents</w:t>
          </w:r>
        </w:p>
        <w:p w14:paraId="1DAF0B26" w14:textId="0D1BD511" w:rsidR="00692538" w:rsidRDefault="001802D1">
          <w:pPr>
            <w:pStyle w:val="TOC3"/>
            <w:rPr>
              <w:rFonts w:asciiTheme="minorHAnsi" w:eastAsiaTheme="minorEastAsia" w:hAnsiTheme="minorHAnsi"/>
              <w:noProof/>
              <w:color w:val="auto"/>
              <w:sz w:val="22"/>
              <w:szCs w:val="22"/>
              <w:lang w:eastAsia="en-GB"/>
            </w:rPr>
          </w:pPr>
          <w:r>
            <w:rPr>
              <w:b/>
              <w:bCs/>
              <w:noProof/>
            </w:rPr>
            <w:fldChar w:fldCharType="begin"/>
          </w:r>
          <w:r>
            <w:rPr>
              <w:b/>
              <w:bCs/>
              <w:noProof/>
            </w:rPr>
            <w:instrText xml:space="preserve"> TOC \o "1-3" \h \z \u </w:instrText>
          </w:r>
          <w:r>
            <w:rPr>
              <w:b/>
              <w:bCs/>
              <w:noProof/>
            </w:rPr>
            <w:fldChar w:fldCharType="separate"/>
          </w:r>
          <w:hyperlink w:anchor="_Toc70352667" w:history="1">
            <w:r w:rsidRPr="00A66EDF">
              <w:rPr>
                <w:rStyle w:val="Hyperlink"/>
                <w:noProof/>
              </w:rPr>
              <w:t>Introduction</w:t>
            </w:r>
            <w:r>
              <w:rPr>
                <w:noProof/>
                <w:webHidden/>
              </w:rPr>
              <w:tab/>
            </w:r>
            <w:r>
              <w:rPr>
                <w:noProof/>
                <w:webHidden/>
              </w:rPr>
              <w:fldChar w:fldCharType="begin"/>
            </w:r>
            <w:r>
              <w:rPr>
                <w:noProof/>
                <w:webHidden/>
              </w:rPr>
              <w:instrText xml:space="preserve"> PAGEREF _Toc70352667 \h </w:instrText>
            </w:r>
            <w:r>
              <w:rPr>
                <w:noProof/>
                <w:webHidden/>
              </w:rPr>
            </w:r>
            <w:r>
              <w:rPr>
                <w:noProof/>
                <w:webHidden/>
              </w:rPr>
              <w:fldChar w:fldCharType="separate"/>
            </w:r>
            <w:r>
              <w:rPr>
                <w:noProof/>
                <w:webHidden/>
              </w:rPr>
              <w:t>3</w:t>
            </w:r>
            <w:r>
              <w:rPr>
                <w:noProof/>
                <w:webHidden/>
              </w:rPr>
              <w:fldChar w:fldCharType="end"/>
            </w:r>
          </w:hyperlink>
        </w:p>
        <w:p w14:paraId="5F4B6F85" w14:textId="4953B0BD" w:rsidR="00692538" w:rsidRDefault="00D264BE">
          <w:pPr>
            <w:pStyle w:val="TOC3"/>
            <w:rPr>
              <w:rFonts w:asciiTheme="minorHAnsi" w:eastAsiaTheme="minorEastAsia" w:hAnsiTheme="minorHAnsi"/>
              <w:noProof/>
              <w:color w:val="auto"/>
              <w:sz w:val="22"/>
              <w:szCs w:val="22"/>
              <w:lang w:eastAsia="en-GB"/>
            </w:rPr>
          </w:pPr>
          <w:hyperlink w:anchor="_Toc70352668" w:history="1">
            <w:r w:rsidR="001802D1" w:rsidRPr="00A66EDF">
              <w:rPr>
                <w:rStyle w:val="Hyperlink"/>
                <w:noProof/>
              </w:rPr>
              <w:t>Audience</w:t>
            </w:r>
            <w:r w:rsidR="001802D1">
              <w:rPr>
                <w:noProof/>
                <w:webHidden/>
              </w:rPr>
              <w:tab/>
            </w:r>
            <w:r w:rsidR="001802D1">
              <w:rPr>
                <w:noProof/>
                <w:webHidden/>
              </w:rPr>
              <w:fldChar w:fldCharType="begin"/>
            </w:r>
            <w:r w:rsidR="001802D1">
              <w:rPr>
                <w:noProof/>
                <w:webHidden/>
              </w:rPr>
              <w:instrText xml:space="preserve"> PAGEREF _Toc70352668 \h </w:instrText>
            </w:r>
            <w:r w:rsidR="001802D1">
              <w:rPr>
                <w:noProof/>
                <w:webHidden/>
              </w:rPr>
            </w:r>
            <w:r w:rsidR="001802D1">
              <w:rPr>
                <w:noProof/>
                <w:webHidden/>
              </w:rPr>
              <w:fldChar w:fldCharType="separate"/>
            </w:r>
            <w:r w:rsidR="001802D1">
              <w:rPr>
                <w:noProof/>
                <w:webHidden/>
              </w:rPr>
              <w:t>3</w:t>
            </w:r>
            <w:r w:rsidR="001802D1">
              <w:rPr>
                <w:noProof/>
                <w:webHidden/>
              </w:rPr>
              <w:fldChar w:fldCharType="end"/>
            </w:r>
          </w:hyperlink>
        </w:p>
        <w:p w14:paraId="6C021C6D" w14:textId="275640CF" w:rsidR="00692538" w:rsidRDefault="00D264BE">
          <w:pPr>
            <w:pStyle w:val="TOC3"/>
            <w:rPr>
              <w:rFonts w:asciiTheme="minorHAnsi" w:eastAsiaTheme="minorEastAsia" w:hAnsiTheme="minorHAnsi"/>
              <w:noProof/>
              <w:color w:val="auto"/>
              <w:sz w:val="22"/>
              <w:szCs w:val="22"/>
              <w:lang w:eastAsia="en-GB"/>
            </w:rPr>
          </w:pPr>
          <w:hyperlink w:anchor="_Toc70352669" w:history="1">
            <w:r w:rsidR="001802D1" w:rsidRPr="00A66EDF">
              <w:rPr>
                <w:rStyle w:val="Hyperlink"/>
                <w:noProof/>
              </w:rPr>
              <w:t>Definitions</w:t>
            </w:r>
            <w:r w:rsidR="001802D1">
              <w:rPr>
                <w:noProof/>
                <w:webHidden/>
              </w:rPr>
              <w:tab/>
            </w:r>
            <w:r w:rsidR="001802D1">
              <w:rPr>
                <w:noProof/>
                <w:webHidden/>
              </w:rPr>
              <w:fldChar w:fldCharType="begin"/>
            </w:r>
            <w:r w:rsidR="001802D1">
              <w:rPr>
                <w:noProof/>
                <w:webHidden/>
              </w:rPr>
              <w:instrText xml:space="preserve"> PAGEREF _Toc70352669 \h </w:instrText>
            </w:r>
            <w:r w:rsidR="001802D1">
              <w:rPr>
                <w:noProof/>
                <w:webHidden/>
              </w:rPr>
            </w:r>
            <w:r w:rsidR="001802D1">
              <w:rPr>
                <w:noProof/>
                <w:webHidden/>
              </w:rPr>
              <w:fldChar w:fldCharType="separate"/>
            </w:r>
            <w:r w:rsidR="001802D1">
              <w:rPr>
                <w:noProof/>
                <w:webHidden/>
              </w:rPr>
              <w:t>3</w:t>
            </w:r>
            <w:r w:rsidR="001802D1">
              <w:rPr>
                <w:noProof/>
                <w:webHidden/>
              </w:rPr>
              <w:fldChar w:fldCharType="end"/>
            </w:r>
          </w:hyperlink>
        </w:p>
        <w:p w14:paraId="28097D02" w14:textId="2FB98D8C" w:rsidR="00692538" w:rsidRDefault="00D264BE">
          <w:pPr>
            <w:pStyle w:val="TOC3"/>
            <w:rPr>
              <w:rFonts w:asciiTheme="minorHAnsi" w:eastAsiaTheme="minorEastAsia" w:hAnsiTheme="minorHAnsi"/>
              <w:noProof/>
              <w:color w:val="auto"/>
              <w:sz w:val="22"/>
              <w:szCs w:val="22"/>
              <w:lang w:eastAsia="en-GB"/>
            </w:rPr>
          </w:pPr>
          <w:hyperlink w:anchor="_Toc70352670" w:history="1">
            <w:r w:rsidR="001802D1" w:rsidRPr="00A66EDF">
              <w:rPr>
                <w:rStyle w:val="Hyperlink"/>
                <w:noProof/>
                <w:lang w:val="en-US"/>
              </w:rPr>
              <w:t>Responsibilities</w:t>
            </w:r>
            <w:r w:rsidR="001802D1">
              <w:rPr>
                <w:noProof/>
                <w:webHidden/>
              </w:rPr>
              <w:tab/>
            </w:r>
            <w:r w:rsidR="001802D1">
              <w:rPr>
                <w:noProof/>
                <w:webHidden/>
              </w:rPr>
              <w:fldChar w:fldCharType="begin"/>
            </w:r>
            <w:r w:rsidR="001802D1">
              <w:rPr>
                <w:noProof/>
                <w:webHidden/>
              </w:rPr>
              <w:instrText xml:space="preserve"> PAGEREF _Toc70352670 \h </w:instrText>
            </w:r>
            <w:r w:rsidR="001802D1">
              <w:rPr>
                <w:noProof/>
                <w:webHidden/>
              </w:rPr>
            </w:r>
            <w:r w:rsidR="001802D1">
              <w:rPr>
                <w:noProof/>
                <w:webHidden/>
              </w:rPr>
              <w:fldChar w:fldCharType="separate"/>
            </w:r>
            <w:r w:rsidR="001802D1">
              <w:rPr>
                <w:noProof/>
                <w:webHidden/>
              </w:rPr>
              <w:t>6</w:t>
            </w:r>
            <w:r w:rsidR="001802D1">
              <w:rPr>
                <w:noProof/>
                <w:webHidden/>
              </w:rPr>
              <w:fldChar w:fldCharType="end"/>
            </w:r>
          </w:hyperlink>
        </w:p>
        <w:p w14:paraId="0F0D6F80" w14:textId="2FFB2114" w:rsidR="00692538" w:rsidRDefault="00D264BE">
          <w:pPr>
            <w:pStyle w:val="TOC3"/>
            <w:rPr>
              <w:rFonts w:asciiTheme="minorHAnsi" w:eastAsiaTheme="minorEastAsia" w:hAnsiTheme="minorHAnsi"/>
              <w:noProof/>
              <w:color w:val="auto"/>
              <w:sz w:val="22"/>
              <w:szCs w:val="22"/>
              <w:lang w:eastAsia="en-GB"/>
            </w:rPr>
          </w:pPr>
          <w:hyperlink w:anchor="_Toc70352671" w:history="1">
            <w:r w:rsidR="001802D1" w:rsidRPr="00A66EDF">
              <w:rPr>
                <w:rStyle w:val="Hyperlink"/>
                <w:noProof/>
              </w:rPr>
              <w:t>Identifying, investigating and responding to fraud and bribery</w:t>
            </w:r>
            <w:r w:rsidR="001802D1">
              <w:rPr>
                <w:noProof/>
                <w:webHidden/>
              </w:rPr>
              <w:tab/>
            </w:r>
            <w:r w:rsidR="001802D1">
              <w:rPr>
                <w:noProof/>
                <w:webHidden/>
              </w:rPr>
              <w:fldChar w:fldCharType="begin"/>
            </w:r>
            <w:r w:rsidR="001802D1">
              <w:rPr>
                <w:noProof/>
                <w:webHidden/>
              </w:rPr>
              <w:instrText xml:space="preserve"> PAGEREF _Toc70352671 \h </w:instrText>
            </w:r>
            <w:r w:rsidR="001802D1">
              <w:rPr>
                <w:noProof/>
                <w:webHidden/>
              </w:rPr>
            </w:r>
            <w:r w:rsidR="001802D1">
              <w:rPr>
                <w:noProof/>
                <w:webHidden/>
              </w:rPr>
              <w:fldChar w:fldCharType="separate"/>
            </w:r>
            <w:r w:rsidR="001802D1">
              <w:rPr>
                <w:noProof/>
                <w:webHidden/>
              </w:rPr>
              <w:t>8</w:t>
            </w:r>
            <w:r w:rsidR="001802D1">
              <w:rPr>
                <w:noProof/>
                <w:webHidden/>
              </w:rPr>
              <w:fldChar w:fldCharType="end"/>
            </w:r>
          </w:hyperlink>
        </w:p>
        <w:p w14:paraId="117B36B4" w14:textId="4CFC548D" w:rsidR="00692538" w:rsidRDefault="00D264BE">
          <w:pPr>
            <w:pStyle w:val="TOC3"/>
            <w:rPr>
              <w:rFonts w:asciiTheme="minorHAnsi" w:eastAsiaTheme="minorEastAsia" w:hAnsiTheme="minorHAnsi"/>
              <w:noProof/>
              <w:color w:val="auto"/>
              <w:sz w:val="22"/>
              <w:szCs w:val="22"/>
              <w:lang w:eastAsia="en-GB"/>
            </w:rPr>
          </w:pPr>
          <w:hyperlink w:anchor="_Toc70352672" w:history="1">
            <w:r w:rsidR="001802D1" w:rsidRPr="00A66EDF">
              <w:rPr>
                <w:rStyle w:val="Hyperlink"/>
                <w:noProof/>
              </w:rPr>
              <w:t>Administration</w:t>
            </w:r>
            <w:r w:rsidR="001802D1">
              <w:rPr>
                <w:noProof/>
                <w:webHidden/>
              </w:rPr>
              <w:tab/>
            </w:r>
            <w:r w:rsidR="001802D1">
              <w:rPr>
                <w:noProof/>
                <w:webHidden/>
              </w:rPr>
              <w:fldChar w:fldCharType="begin"/>
            </w:r>
            <w:r w:rsidR="001802D1">
              <w:rPr>
                <w:noProof/>
                <w:webHidden/>
              </w:rPr>
              <w:instrText xml:space="preserve"> PAGEREF _Toc70352672 \h </w:instrText>
            </w:r>
            <w:r w:rsidR="001802D1">
              <w:rPr>
                <w:noProof/>
                <w:webHidden/>
              </w:rPr>
            </w:r>
            <w:r w:rsidR="001802D1">
              <w:rPr>
                <w:noProof/>
                <w:webHidden/>
              </w:rPr>
              <w:fldChar w:fldCharType="separate"/>
            </w:r>
            <w:r w:rsidR="001802D1">
              <w:rPr>
                <w:noProof/>
                <w:webHidden/>
              </w:rPr>
              <w:t>9</w:t>
            </w:r>
            <w:r w:rsidR="001802D1">
              <w:rPr>
                <w:noProof/>
                <w:webHidden/>
              </w:rPr>
              <w:fldChar w:fldCharType="end"/>
            </w:r>
          </w:hyperlink>
        </w:p>
        <w:p w14:paraId="70D2FC9D" w14:textId="3CC6476E" w:rsidR="00692538" w:rsidRDefault="001802D1">
          <w:r>
            <w:rPr>
              <w:b/>
              <w:bCs/>
              <w:noProof/>
            </w:rPr>
            <w:fldChar w:fldCharType="end"/>
          </w:r>
        </w:p>
      </w:sdtContent>
    </w:sdt>
    <w:p w14:paraId="783213AF" w14:textId="77777777" w:rsidR="00DC1893" w:rsidRDefault="00DC1893" w:rsidP="00DC1893">
      <w:pPr>
        <w:pStyle w:val="Body"/>
      </w:pPr>
    </w:p>
    <w:p w14:paraId="342A2AF8" w14:textId="77777777" w:rsidR="00DC1893" w:rsidRDefault="00DC1893" w:rsidP="00DC1893">
      <w:pPr>
        <w:pStyle w:val="Body"/>
      </w:pPr>
    </w:p>
    <w:p w14:paraId="50BF3273" w14:textId="77777777" w:rsidR="00DC1893" w:rsidRDefault="00DC1893" w:rsidP="00DC1893">
      <w:pPr>
        <w:pStyle w:val="Body"/>
      </w:pPr>
    </w:p>
    <w:p w14:paraId="51FF551F" w14:textId="77777777" w:rsidR="00DC1893" w:rsidRDefault="001802D1" w:rsidP="00DC1893">
      <w:pPr>
        <w:pStyle w:val="Boxtextheading"/>
      </w:pPr>
      <w:r>
        <w:t>Administration and approval process</w:t>
      </w:r>
    </w:p>
    <w:p w14:paraId="4B715CF4" w14:textId="3AC5FF3B" w:rsidR="00DC1893" w:rsidRDefault="001802D1" w:rsidP="00DC1893">
      <w:pPr>
        <w:pStyle w:val="Boxtext"/>
      </w:pPr>
      <w:r>
        <w:t xml:space="preserve">The </w:t>
      </w:r>
      <w:r w:rsidR="00CD494C">
        <w:t xml:space="preserve">Finance </w:t>
      </w:r>
      <w:r>
        <w:t>Director</w:t>
      </w:r>
      <w:r w:rsidR="0084330E">
        <w:t>,</w:t>
      </w:r>
      <w:r>
        <w:t xml:space="preserve"> and General Counsel have </w:t>
      </w:r>
      <w:r w:rsidR="00CD494C">
        <w:t xml:space="preserve">joint </w:t>
      </w:r>
      <w:r>
        <w:t xml:space="preserve">overall responsibility for the administration, revision, interpretation and application of this policy. </w:t>
      </w:r>
      <w:r w:rsidR="005C24C7" w:rsidRPr="005C24C7">
        <w:t>The policy will b</w:t>
      </w:r>
      <w:r w:rsidR="005C24C7">
        <w:t xml:space="preserve">e reviewed every two years and </w:t>
      </w:r>
      <w:r w:rsidR="005C24C7" w:rsidRPr="005C24C7">
        <w:t>revised as required.</w:t>
      </w:r>
    </w:p>
    <w:p w14:paraId="5707DC8C" w14:textId="2E468717" w:rsidR="00DC1893" w:rsidRDefault="001802D1" w:rsidP="00DC1893">
      <w:pPr>
        <w:pStyle w:val="Boxtext"/>
      </w:pPr>
      <w:r>
        <w:t>Date of issue:</w:t>
      </w:r>
      <w:r w:rsidR="00DA6B9A">
        <w:t xml:space="preserve"> </w:t>
      </w:r>
      <w:r w:rsidR="004258E0">
        <w:t>June</w:t>
      </w:r>
      <w:r w:rsidR="00DA6B9A">
        <w:t xml:space="preserve"> 202</w:t>
      </w:r>
      <w:r w:rsidR="004258E0">
        <w:t>3</w:t>
      </w:r>
    </w:p>
    <w:p w14:paraId="63A4D3E1" w14:textId="77777777" w:rsidR="00DC1893" w:rsidRDefault="00DC1893" w:rsidP="00DC1893">
      <w:pPr>
        <w:pStyle w:val="Body"/>
      </w:pPr>
    </w:p>
    <w:p w14:paraId="45614397" w14:textId="77777777" w:rsidR="00DC1893" w:rsidRDefault="00DC1893" w:rsidP="00DC1893">
      <w:pPr>
        <w:pStyle w:val="Body"/>
        <w:sectPr w:rsidR="00DC1893" w:rsidSect="00481897">
          <w:pgSz w:w="11906" w:h="16838" w:code="9"/>
          <w:pgMar w:top="1928" w:right="714" w:bottom="714" w:left="1605" w:header="567" w:footer="397" w:gutter="0"/>
          <w:cols w:space="708"/>
          <w:titlePg/>
          <w:docGrid w:linePitch="360"/>
        </w:sectPr>
      </w:pPr>
    </w:p>
    <w:p w14:paraId="02CA0B02" w14:textId="77777777" w:rsidR="00DC1893" w:rsidRDefault="001802D1" w:rsidP="00EC21F6">
      <w:pPr>
        <w:pStyle w:val="B-head"/>
      </w:pPr>
      <w:bookmarkStart w:id="0" w:name="_Toc70352667"/>
      <w:r>
        <w:lastRenderedPageBreak/>
        <w:t>Introduction</w:t>
      </w:r>
      <w:bookmarkEnd w:id="0"/>
    </w:p>
    <w:p w14:paraId="1C15044D" w14:textId="77777777" w:rsidR="00EC21F6" w:rsidRDefault="001802D1" w:rsidP="00692538">
      <w:pPr>
        <w:pStyle w:val="Numberedbody"/>
      </w:pPr>
      <w:r w:rsidRPr="00570BFC">
        <w:rPr>
          <w:b/>
        </w:rPr>
        <w:t>The Commission requires all staff, at all times, to act honestly and with integrity.</w:t>
      </w:r>
      <w:r>
        <w:t xml:space="preserve">  This includes safeguarding the public resources for which they are responsible and any other resources that fall within the Commission’s responsibility.  </w:t>
      </w:r>
    </w:p>
    <w:p w14:paraId="6D52B6C5" w14:textId="7A591FAF" w:rsidR="00EC21F6" w:rsidRDefault="001802D1" w:rsidP="00692538">
      <w:pPr>
        <w:pStyle w:val="Numberedbody"/>
      </w:pPr>
      <w:r>
        <w:t xml:space="preserve">The Commission </w:t>
      </w:r>
      <w:r w:rsidR="009249F8" w:rsidRPr="00881B79">
        <w:t>has zero tolerance for</w:t>
      </w:r>
      <w:r>
        <w:t xml:space="preserve"> fraud and bribery</w:t>
      </w:r>
      <w:r w:rsidR="0071283E">
        <w:t xml:space="preserve"> </w:t>
      </w:r>
      <w:r>
        <w:t xml:space="preserve">and is committed to ensuring that its systems and practices reduce the risk of fraud occurring. In addition, cases of actual or suspected fraud will be vigorously and promptly investigated and appropriate action will be taken. </w:t>
      </w:r>
    </w:p>
    <w:p w14:paraId="193A8846" w14:textId="77777777" w:rsidR="00EC21F6" w:rsidRDefault="001802D1" w:rsidP="00692538">
      <w:pPr>
        <w:pStyle w:val="Numberedbody"/>
      </w:pPr>
      <w:r>
        <w:t>The purpose of this policy is to:</w:t>
      </w:r>
    </w:p>
    <w:p w14:paraId="758A9DB3" w14:textId="77777777" w:rsidR="00EC21F6" w:rsidRDefault="001802D1" w:rsidP="00EC21F6">
      <w:pPr>
        <w:pStyle w:val="Bulletspaced"/>
      </w:pPr>
      <w:r>
        <w:t xml:space="preserve">Set out staff responsibilities (as an individual and/or a manager) with regard to the prevention and detection of fraud; </w:t>
      </w:r>
    </w:p>
    <w:p w14:paraId="61D0C5AD" w14:textId="255C60DD" w:rsidR="00EC21F6" w:rsidRDefault="001802D1" w:rsidP="00EC21F6">
      <w:pPr>
        <w:pStyle w:val="Bulletspaced"/>
      </w:pPr>
      <w:r>
        <w:t xml:space="preserve">Describe the procedures for notifying and investigating any allegations of fraud </w:t>
      </w:r>
      <w:r w:rsidR="001824DA">
        <w:t>or bribery</w:t>
      </w:r>
      <w:r>
        <w:t>; and,</w:t>
      </w:r>
    </w:p>
    <w:p w14:paraId="213C5C2F" w14:textId="77777777" w:rsidR="00DC1893" w:rsidRDefault="001802D1" w:rsidP="00EC21F6">
      <w:pPr>
        <w:pStyle w:val="Bulletspaced"/>
      </w:pPr>
      <w:r>
        <w:t>Provide advice and procedure for notifying any knowledge or suspicion of money laundering</w:t>
      </w:r>
    </w:p>
    <w:p w14:paraId="23A944DA" w14:textId="77777777" w:rsidR="00DC1893" w:rsidRDefault="001802D1" w:rsidP="00EC21F6">
      <w:pPr>
        <w:pStyle w:val="B-head"/>
      </w:pPr>
      <w:bookmarkStart w:id="1" w:name="_Toc70352668"/>
      <w:r>
        <w:t>Audience</w:t>
      </w:r>
      <w:bookmarkEnd w:id="1"/>
    </w:p>
    <w:p w14:paraId="2FC32781" w14:textId="77777777" w:rsidR="00DC1893" w:rsidRDefault="001802D1" w:rsidP="00692538">
      <w:pPr>
        <w:pStyle w:val="Numberedbody"/>
      </w:pPr>
      <w:r w:rsidRPr="00EC21F6">
        <w:t xml:space="preserve">The policy applies to any fraud or suspected fraud, </w:t>
      </w:r>
      <w:r>
        <w:t xml:space="preserve">or </w:t>
      </w:r>
      <w:r w:rsidRPr="00EC21F6">
        <w:t>any bribery or suspected bribery</w:t>
      </w:r>
      <w:r>
        <w:t>,</w:t>
      </w:r>
      <w:r w:rsidRPr="00EC21F6">
        <w:t xml:space="preserve"> involving employees in their work for the Commission, and in their dealings with stakeholders, consultants, vendors, contractors, outside agencies doing business with employees of such agencies, and/or any other parties with a business relationship with the Commission.  </w:t>
      </w:r>
      <w:r>
        <w:t xml:space="preserve">It also addresses how the Commission will collaborate with other public bodies in their efforts to tackle fraud or bribery.   </w:t>
      </w:r>
    </w:p>
    <w:p w14:paraId="6CCF3E34" w14:textId="77777777" w:rsidR="00DC1893" w:rsidRDefault="001802D1" w:rsidP="00692538">
      <w:pPr>
        <w:pStyle w:val="Numberedbody"/>
      </w:pPr>
      <w:r>
        <w:t xml:space="preserve">For the avoidance of doubt, issues of fraud or bribery in bodies regulated by the Commission or identified as a result of the Commission’s regulatory work are addressed in the Commission’s regulatory policies.  </w:t>
      </w:r>
    </w:p>
    <w:p w14:paraId="65922F86" w14:textId="77777777" w:rsidR="00EC21F6" w:rsidRDefault="001802D1" w:rsidP="00EC21F6">
      <w:pPr>
        <w:pStyle w:val="B-head"/>
      </w:pPr>
      <w:bookmarkStart w:id="2" w:name="_Toc70352669"/>
      <w:r>
        <w:t>Definitions</w:t>
      </w:r>
      <w:bookmarkEnd w:id="2"/>
      <w:r>
        <w:t xml:space="preserve"> </w:t>
      </w:r>
    </w:p>
    <w:p w14:paraId="34361168" w14:textId="77777777" w:rsidR="00EC21F6" w:rsidRDefault="001802D1" w:rsidP="00EC21F6">
      <w:pPr>
        <w:pStyle w:val="C-head"/>
      </w:pPr>
      <w:r>
        <w:t>Fraud</w:t>
      </w:r>
    </w:p>
    <w:p w14:paraId="19468193" w14:textId="77777777" w:rsidR="00EC21F6" w:rsidRDefault="001802D1" w:rsidP="00692538">
      <w:pPr>
        <w:pStyle w:val="Numberedbody"/>
      </w:pPr>
      <w:r>
        <w:t xml:space="preserve">The Fraud Act 2006, which came into effect on 15 January 2007, creates a general offence of fraud with three ways of committing it: </w:t>
      </w:r>
    </w:p>
    <w:p w14:paraId="40E5A01F" w14:textId="77777777" w:rsidR="00EC21F6" w:rsidRDefault="001802D1" w:rsidP="005D024B">
      <w:pPr>
        <w:pStyle w:val="Bulletspaced"/>
      </w:pPr>
      <w:r>
        <w:t>Fraud by false representation;</w:t>
      </w:r>
    </w:p>
    <w:p w14:paraId="443C962F" w14:textId="77777777" w:rsidR="00EC21F6" w:rsidRDefault="001802D1" w:rsidP="005D024B">
      <w:pPr>
        <w:pStyle w:val="Bulletspaced"/>
      </w:pPr>
      <w:r>
        <w:t xml:space="preserve">Fraud by failing to disclose information; </w:t>
      </w:r>
    </w:p>
    <w:p w14:paraId="635A6981" w14:textId="77777777" w:rsidR="00EC21F6" w:rsidRDefault="001802D1" w:rsidP="005D024B">
      <w:pPr>
        <w:pStyle w:val="Bulletspaced"/>
      </w:pPr>
      <w:r>
        <w:t>Fraud by abuse of position.</w:t>
      </w:r>
    </w:p>
    <w:p w14:paraId="1E8E714D" w14:textId="607229BA" w:rsidR="00EC21F6" w:rsidRDefault="001802D1" w:rsidP="00692538">
      <w:pPr>
        <w:pStyle w:val="Numberedbody"/>
      </w:pPr>
      <w:r>
        <w:t>It also create</w:t>
      </w:r>
      <w:r w:rsidR="00BF1D0D">
        <w:t>d</w:t>
      </w:r>
      <w:r>
        <w:t xml:space="preserve"> new offences: </w:t>
      </w:r>
    </w:p>
    <w:p w14:paraId="599D5EFA" w14:textId="77777777" w:rsidR="00EC21F6" w:rsidRDefault="001802D1" w:rsidP="005D024B">
      <w:pPr>
        <w:pStyle w:val="Bulletspaced"/>
      </w:pPr>
      <w:r>
        <w:t xml:space="preserve">Obtaining services dishonestly; </w:t>
      </w:r>
    </w:p>
    <w:p w14:paraId="05518C05" w14:textId="77777777" w:rsidR="00EC21F6" w:rsidRDefault="001802D1" w:rsidP="005D024B">
      <w:pPr>
        <w:pStyle w:val="Bulletspaced"/>
      </w:pPr>
      <w:r>
        <w:lastRenderedPageBreak/>
        <w:t xml:space="preserve">Possessing, making and supplying articles for use in frauds; </w:t>
      </w:r>
    </w:p>
    <w:p w14:paraId="24753E36" w14:textId="6A6D0264" w:rsidR="00EC21F6" w:rsidRDefault="001802D1" w:rsidP="005D024B">
      <w:pPr>
        <w:pStyle w:val="Bulletspaced"/>
      </w:pPr>
      <w:r>
        <w:t xml:space="preserve">Fraudulent trading applicable to non-corporate traders.  </w:t>
      </w:r>
    </w:p>
    <w:p w14:paraId="40E05F68" w14:textId="77777777" w:rsidR="00EC21F6" w:rsidRPr="005D024B" w:rsidRDefault="001802D1" w:rsidP="00692538">
      <w:pPr>
        <w:pStyle w:val="Numberedbody"/>
        <w:spacing w:before="240" w:after="240"/>
      </w:pPr>
      <w:r w:rsidRPr="005D024B">
        <w:t xml:space="preserve">For practical purposes fraud may be defined as the use of deception with the intention of obtaining an advantage, causing loss to another party or exposing another to a risk of loss.  </w:t>
      </w:r>
    </w:p>
    <w:p w14:paraId="7AB8DEB0" w14:textId="77777777" w:rsidR="00EC21F6" w:rsidRDefault="001802D1" w:rsidP="00692538">
      <w:pPr>
        <w:pStyle w:val="Numberedbody"/>
      </w:pPr>
      <w:r>
        <w:t>Actions which constitute fraud include:</w:t>
      </w:r>
    </w:p>
    <w:p w14:paraId="2143F1D6" w14:textId="77777777" w:rsidR="00EC21F6" w:rsidRDefault="001802D1" w:rsidP="005D024B">
      <w:pPr>
        <w:pStyle w:val="Bulletspaced"/>
      </w:pPr>
      <w:r>
        <w:t>Any dishonest or fraudulent act;</w:t>
      </w:r>
    </w:p>
    <w:p w14:paraId="46A167CC" w14:textId="77777777" w:rsidR="00EC21F6" w:rsidRDefault="001802D1" w:rsidP="005D024B">
      <w:pPr>
        <w:pStyle w:val="Bulletspaced"/>
      </w:pPr>
      <w:r>
        <w:t>Forgery or alteration of any document or account belonging to the Commission;</w:t>
      </w:r>
    </w:p>
    <w:p w14:paraId="3917DAC5" w14:textId="77777777" w:rsidR="00EC21F6" w:rsidRDefault="001802D1" w:rsidP="005D024B">
      <w:pPr>
        <w:pStyle w:val="Bulletspaced"/>
      </w:pPr>
      <w:r>
        <w:t>Forgery or alteration of a cheque, bank draft, or any other financial document;</w:t>
      </w:r>
    </w:p>
    <w:p w14:paraId="6330935A" w14:textId="77777777" w:rsidR="00EC21F6" w:rsidRDefault="001802D1" w:rsidP="005D024B">
      <w:pPr>
        <w:pStyle w:val="Bulletspaced"/>
      </w:pPr>
      <w:r>
        <w:t>Misappropriation of funds, securities, supplies, or other assets;</w:t>
      </w:r>
    </w:p>
    <w:p w14:paraId="5991D117" w14:textId="77777777" w:rsidR="00EC21F6" w:rsidRDefault="001802D1" w:rsidP="005D024B">
      <w:pPr>
        <w:pStyle w:val="Bulletspaced"/>
      </w:pPr>
      <w:r>
        <w:t>Impropriety in the handling or reporting of money or financial transactions;</w:t>
      </w:r>
    </w:p>
    <w:p w14:paraId="4A0F40B0" w14:textId="77777777" w:rsidR="00EC21F6" w:rsidRDefault="001802D1" w:rsidP="005D024B">
      <w:pPr>
        <w:pStyle w:val="Bulletspaced"/>
      </w:pPr>
      <w:r>
        <w:t>Profiteering as a result of insider knowledge of the Commission’s activities, possibly by making unauthorised use of information not yet released;</w:t>
      </w:r>
    </w:p>
    <w:p w14:paraId="463177E7" w14:textId="77777777" w:rsidR="00EC21F6" w:rsidRDefault="001802D1" w:rsidP="005D024B">
      <w:pPr>
        <w:pStyle w:val="Bulletspaced"/>
      </w:pPr>
      <w:r>
        <w:t>Disclosing confidential and proprietary information to outside parties;</w:t>
      </w:r>
    </w:p>
    <w:p w14:paraId="72D1BC32" w14:textId="77777777" w:rsidR="00EC21F6" w:rsidRDefault="001802D1" w:rsidP="005D024B">
      <w:pPr>
        <w:pStyle w:val="Bulletspaced"/>
      </w:pPr>
      <w:r>
        <w:t>Disclosing to other persons activities engaged in or contemplated by the Commission;</w:t>
      </w:r>
    </w:p>
    <w:p w14:paraId="732DBDDA" w14:textId="77777777" w:rsidR="00EC21F6" w:rsidRDefault="001802D1" w:rsidP="005D024B">
      <w:pPr>
        <w:pStyle w:val="Bulletspaced"/>
      </w:pPr>
      <w:r>
        <w:t>Accepting or seeking anything of material value from contractors, vendors or persons providing services/materials to the Commission;</w:t>
      </w:r>
    </w:p>
    <w:p w14:paraId="3CD93F6B" w14:textId="77777777" w:rsidR="00EC21F6" w:rsidRDefault="001802D1" w:rsidP="005D024B">
      <w:pPr>
        <w:pStyle w:val="Bulletspaced"/>
      </w:pPr>
      <w:r>
        <w:t>Destruction, removal or inappropriate use of records, furniture, fixtures, and equipment; and/or</w:t>
      </w:r>
    </w:p>
    <w:p w14:paraId="7562C302" w14:textId="77777777" w:rsidR="00EC21F6" w:rsidRDefault="001802D1" w:rsidP="005D024B">
      <w:pPr>
        <w:pStyle w:val="Bulletspaced"/>
      </w:pPr>
      <w:r>
        <w:t>Any similar or related inappropriate conduct.</w:t>
      </w:r>
    </w:p>
    <w:p w14:paraId="058648F1" w14:textId="77777777" w:rsidR="0039515C" w:rsidRDefault="001802D1" w:rsidP="0039515C">
      <w:pPr>
        <w:pStyle w:val="Numberedbody"/>
        <w:spacing w:before="240"/>
      </w:pPr>
      <w:r>
        <w:t>It is difficult and perhaps inadvisable to be prescriptive as to where these issues might affect the Commission. There are always new and unforeseen ways of using organisations in such operations. However, some examples of areas where the risk of fraud may be more likely to arise are:</w:t>
      </w:r>
    </w:p>
    <w:p w14:paraId="0BA8F0CA" w14:textId="77777777" w:rsidR="0039515C" w:rsidRDefault="001802D1" w:rsidP="0039515C">
      <w:pPr>
        <w:pStyle w:val="Bulletspaced"/>
      </w:pPr>
      <w:r>
        <w:t xml:space="preserve">Making false claims for overtime, flexi-time, travel and subsistence claims; </w:t>
      </w:r>
    </w:p>
    <w:p w14:paraId="6B2A2170" w14:textId="77777777" w:rsidR="0039515C" w:rsidRDefault="001802D1" w:rsidP="0039515C">
      <w:pPr>
        <w:pStyle w:val="Bulletspaced"/>
      </w:pPr>
      <w:r>
        <w:t>Falsification and duplication of invoices in order to generate a false payment;</w:t>
      </w:r>
    </w:p>
    <w:p w14:paraId="4A51BE66" w14:textId="77777777" w:rsidR="0039515C" w:rsidRDefault="001802D1" w:rsidP="0039515C">
      <w:pPr>
        <w:pStyle w:val="Bulletspaced"/>
      </w:pPr>
      <w:r>
        <w:t>Misappropriation of grant funds;</w:t>
      </w:r>
    </w:p>
    <w:p w14:paraId="3D021A82" w14:textId="77777777" w:rsidR="0039515C" w:rsidRDefault="001802D1" w:rsidP="0039515C">
      <w:pPr>
        <w:pStyle w:val="Bulletspaced"/>
      </w:pPr>
      <w:r>
        <w:t>Unauthorised use of purchasing systems in order to misappropriate goods or use services for personal gain;</w:t>
      </w:r>
    </w:p>
    <w:p w14:paraId="14BFC3B2" w14:textId="77777777" w:rsidR="0039515C" w:rsidRDefault="001802D1" w:rsidP="0039515C">
      <w:pPr>
        <w:pStyle w:val="Bulletspaced"/>
      </w:pPr>
      <w:r>
        <w:t>Short deliveries of goods or services may be accepted as a result of collusion;</w:t>
      </w:r>
    </w:p>
    <w:p w14:paraId="1BC34EAB" w14:textId="77777777" w:rsidR="0039515C" w:rsidRDefault="001802D1" w:rsidP="0039515C">
      <w:pPr>
        <w:pStyle w:val="Bulletspaced"/>
      </w:pPr>
      <w:r>
        <w:t>Acceptance of unsolicited goods or expanded orders as a result fraudulent acceptance of attractions such as free gifts (see also clause 3.1 of the Code of Conduct on the Hospitality and Gifts Register);</w:t>
      </w:r>
    </w:p>
    <w:p w14:paraId="2EADC925" w14:textId="77777777" w:rsidR="0039515C" w:rsidRDefault="001802D1" w:rsidP="0039515C">
      <w:pPr>
        <w:pStyle w:val="Bulletspaced"/>
      </w:pPr>
      <w:r>
        <w:t>Misuse of procurement or credit cards;</w:t>
      </w:r>
    </w:p>
    <w:p w14:paraId="5C0A4DCE" w14:textId="77777777" w:rsidR="0039515C" w:rsidRDefault="001802D1" w:rsidP="0039515C">
      <w:pPr>
        <w:pStyle w:val="Bulletspaced"/>
      </w:pPr>
      <w:r>
        <w:t>A contractor could be selected as a result of favouritism or who does not offer best value for money;</w:t>
      </w:r>
    </w:p>
    <w:p w14:paraId="1257CEFA" w14:textId="77777777" w:rsidR="0039515C" w:rsidRDefault="001802D1" w:rsidP="0039515C">
      <w:pPr>
        <w:pStyle w:val="Bulletspaced"/>
      </w:pPr>
      <w:r>
        <w:lastRenderedPageBreak/>
        <w:t>Payments made for work not carried out as a result of collusion between the contractor and official;</w:t>
      </w:r>
    </w:p>
    <w:p w14:paraId="4DABF8F4" w14:textId="77777777" w:rsidR="0039515C" w:rsidRDefault="001802D1" w:rsidP="0039515C">
      <w:pPr>
        <w:pStyle w:val="Bulletspaced"/>
      </w:pPr>
      <w:r>
        <w:t>Theft or unauthorised use of assets;</w:t>
      </w:r>
    </w:p>
    <w:p w14:paraId="597A81F4" w14:textId="77777777" w:rsidR="0039515C" w:rsidRDefault="001802D1" w:rsidP="0039515C">
      <w:pPr>
        <w:pStyle w:val="Bulletspaced"/>
      </w:pPr>
      <w:r>
        <w:t>Theft of sensitive/restricted documentation or information.</w:t>
      </w:r>
    </w:p>
    <w:p w14:paraId="126BDC79" w14:textId="03997109" w:rsidR="00553215" w:rsidRPr="00553215" w:rsidRDefault="001802D1" w:rsidP="00553215">
      <w:pPr>
        <w:pStyle w:val="C-head"/>
      </w:pPr>
      <w:r>
        <w:t xml:space="preserve">Money Laundering </w:t>
      </w:r>
    </w:p>
    <w:p w14:paraId="68E02D71" w14:textId="139B903B" w:rsidR="00EC21F6" w:rsidRDefault="001802D1" w:rsidP="00692538">
      <w:pPr>
        <w:pStyle w:val="Numberedbody"/>
        <w:spacing w:before="240"/>
      </w:pPr>
      <w:r w:rsidRPr="005D024B">
        <w:rPr>
          <w:b/>
        </w:rPr>
        <w:t>Money laundering</w:t>
      </w:r>
      <w:r>
        <w:t xml:space="preserve"> is a specific form of fraud which is dealt with under specific laws.  </w:t>
      </w:r>
      <w:r w:rsidR="00D427BB" w:rsidRPr="005C24C7">
        <w:rPr>
          <w:lang w:val="en-US"/>
        </w:rPr>
        <w:t xml:space="preserve">Money </w:t>
      </w:r>
      <w:r w:rsidR="00D427BB">
        <w:rPr>
          <w:lang w:val="en-US"/>
        </w:rPr>
        <w:t>l</w:t>
      </w:r>
      <w:r w:rsidR="00D427BB" w:rsidRPr="005C24C7">
        <w:rPr>
          <w:lang w:val="en-US"/>
        </w:rPr>
        <w:t>aundering is the process whereby criminals attempt to give the impression that money that they have is actually legally theirs and, therefore, they are legitimately able to spend it.  If something is purchased with this money then it can either be used or sold and those proceeds of sale appear to be legitimate.</w:t>
      </w:r>
      <w:r>
        <w:t>Money laundering may involve:</w:t>
      </w:r>
    </w:p>
    <w:p w14:paraId="7B3C42DB" w14:textId="77777777" w:rsidR="00EC21F6" w:rsidRDefault="001802D1" w:rsidP="005D024B">
      <w:pPr>
        <w:pStyle w:val="Bulletspaced"/>
      </w:pPr>
      <w:r>
        <w:t>The physical disposal of cash proceeds derived from illegal activity;</w:t>
      </w:r>
    </w:p>
    <w:p w14:paraId="51DDC099" w14:textId="77777777" w:rsidR="00EC21F6" w:rsidRDefault="001802D1" w:rsidP="005D024B">
      <w:pPr>
        <w:pStyle w:val="Bulletspaced"/>
      </w:pPr>
      <w:r>
        <w:t>Creating complex layers of financial transactions to conceal the source of funds;</w:t>
      </w:r>
    </w:p>
    <w:p w14:paraId="43327CEE" w14:textId="5E596446" w:rsidR="00EC21F6" w:rsidRDefault="001802D1" w:rsidP="005D024B">
      <w:pPr>
        <w:pStyle w:val="Bulletspaced"/>
      </w:pPr>
      <w:r>
        <w:t>Legitimising the proceeds of crime by returning them into the system as proper business funds.</w:t>
      </w:r>
    </w:p>
    <w:p w14:paraId="06047BB4" w14:textId="2074F51F" w:rsidR="00D427BB" w:rsidRPr="005C24C7" w:rsidRDefault="001802D1" w:rsidP="00D427BB">
      <w:pPr>
        <w:pStyle w:val="Numberedbody"/>
        <w:rPr>
          <w:lang w:val="en-US"/>
        </w:rPr>
      </w:pPr>
      <w:r w:rsidRPr="005C24C7">
        <w:rPr>
          <w:lang w:val="en-US"/>
        </w:rPr>
        <w:t>Offences, duties and responsibilities are contained in the Proceeds of Crime Act 2002 as amended and related regulations. You are personally required, by law, to report any knowledge or suspicion of money laundering.</w:t>
      </w:r>
      <w:r>
        <w:rPr>
          <w:lang w:val="en-US"/>
        </w:rPr>
        <w:t xml:space="preserve">  </w:t>
      </w:r>
    </w:p>
    <w:p w14:paraId="750A5CEA" w14:textId="77777777" w:rsidR="00D427BB" w:rsidRPr="005C24C7" w:rsidRDefault="001802D1" w:rsidP="00D427BB">
      <w:pPr>
        <w:pStyle w:val="Numberedbody"/>
        <w:rPr>
          <w:lang w:val="en-US"/>
        </w:rPr>
      </w:pPr>
      <w:r w:rsidRPr="00876BC0">
        <w:rPr>
          <w:lang w:val="en-US"/>
        </w:rPr>
        <w:t>Do not confront the person with your suspicions.</w:t>
      </w:r>
      <w:r>
        <w:rPr>
          <w:lang w:val="en-US"/>
        </w:rPr>
        <w:t xml:space="preserve">  T</w:t>
      </w:r>
      <w:r w:rsidRPr="005C24C7">
        <w:rPr>
          <w:lang w:val="en-US"/>
        </w:rPr>
        <w:t xml:space="preserve">here are criminal offences around Money Laundering, particularly if you disclose information that enables a suspect to conceal evidence and prejudices an investigation. It is very important, therefore, that if you have suspicions you keep these to yourself and in the first instance, report your suspicions to the Commission’s </w:t>
      </w:r>
      <w:r>
        <w:rPr>
          <w:lang w:val="en-US"/>
        </w:rPr>
        <w:t>General</w:t>
      </w:r>
      <w:r w:rsidRPr="005C24C7">
        <w:rPr>
          <w:lang w:val="en-US"/>
        </w:rPr>
        <w:t xml:space="preserve"> Counsel who is the Commission’s Money Laundering Reporting Officer.</w:t>
      </w:r>
    </w:p>
    <w:p w14:paraId="299B6383" w14:textId="77777777" w:rsidR="00D427BB" w:rsidRPr="005C24C7" w:rsidRDefault="001802D1" w:rsidP="00D427BB">
      <w:pPr>
        <w:pStyle w:val="Numberedbody"/>
        <w:rPr>
          <w:lang w:val="en-US"/>
        </w:rPr>
      </w:pPr>
      <w:r>
        <w:rPr>
          <w:lang w:val="en-US"/>
        </w:rPr>
        <w:t>General</w:t>
      </w:r>
      <w:r w:rsidRPr="005C24C7">
        <w:rPr>
          <w:lang w:val="en-US"/>
        </w:rPr>
        <w:t xml:space="preserve"> Counsel will inform appropriate senior managers, including the Chief Executive, internal and external auditors. This will enable initial consideration </w:t>
      </w:r>
      <w:r>
        <w:rPr>
          <w:lang w:val="en-US"/>
        </w:rPr>
        <w:t>to be given to the matter. General</w:t>
      </w:r>
      <w:r w:rsidRPr="005C24C7">
        <w:rPr>
          <w:lang w:val="en-US"/>
        </w:rPr>
        <w:t xml:space="preserve"> Counsel will, if there are appropriate grounds report the matter to the </w:t>
      </w:r>
      <w:r>
        <w:rPr>
          <w:lang w:val="en-US"/>
        </w:rPr>
        <w:t>relevant investigating authorities</w:t>
      </w:r>
      <w:r w:rsidRPr="005C24C7">
        <w:rPr>
          <w:lang w:val="en-US"/>
        </w:rPr>
        <w:t>.</w:t>
      </w:r>
    </w:p>
    <w:p w14:paraId="7710004C" w14:textId="77777777" w:rsidR="005D024B" w:rsidRDefault="001802D1" w:rsidP="005D024B">
      <w:pPr>
        <w:pStyle w:val="C-head"/>
        <w:rPr>
          <w:lang w:val="en-US"/>
        </w:rPr>
      </w:pPr>
      <w:r>
        <w:rPr>
          <w:lang w:val="en-US"/>
        </w:rPr>
        <w:t>Bribery</w:t>
      </w:r>
    </w:p>
    <w:p w14:paraId="3BE86443" w14:textId="77777777" w:rsidR="005D024B" w:rsidRPr="003B33C2" w:rsidRDefault="001802D1" w:rsidP="00692538">
      <w:pPr>
        <w:pStyle w:val="Numberedbody"/>
        <w:rPr>
          <w:lang w:val="en-US"/>
        </w:rPr>
      </w:pPr>
      <w:r w:rsidRPr="003B33C2">
        <w:rPr>
          <w:lang w:val="en-US"/>
        </w:rPr>
        <w:t>The Bribery Act 2010 sets out offences that include:</w:t>
      </w:r>
    </w:p>
    <w:p w14:paraId="5D5B3388" w14:textId="77777777" w:rsidR="005D024B" w:rsidRPr="003B33C2" w:rsidRDefault="001802D1" w:rsidP="005D024B">
      <w:pPr>
        <w:pStyle w:val="Bulletspaced"/>
        <w:rPr>
          <w:lang w:val="en-US"/>
        </w:rPr>
      </w:pPr>
      <w:r w:rsidRPr="003B33C2">
        <w:rPr>
          <w:lang w:val="en-US"/>
        </w:rPr>
        <w:t>Bribing another person</w:t>
      </w:r>
    </w:p>
    <w:p w14:paraId="0ED4D668" w14:textId="7EB84857" w:rsidR="005D024B" w:rsidRDefault="001802D1" w:rsidP="005D024B">
      <w:pPr>
        <w:pStyle w:val="Bulletspaced"/>
        <w:rPr>
          <w:lang w:val="en-US"/>
        </w:rPr>
      </w:pPr>
      <w:r w:rsidRPr="003B33C2">
        <w:rPr>
          <w:lang w:val="en-US"/>
        </w:rPr>
        <w:t>Being bribed</w:t>
      </w:r>
    </w:p>
    <w:p w14:paraId="7EBC1D46" w14:textId="70736C0B" w:rsidR="005E29CE" w:rsidRDefault="001802D1" w:rsidP="005D024B">
      <w:pPr>
        <w:pStyle w:val="Bulletspaced"/>
        <w:rPr>
          <w:lang w:val="en-US"/>
        </w:rPr>
      </w:pPr>
      <w:r>
        <w:rPr>
          <w:lang w:val="en-US"/>
        </w:rPr>
        <w:t xml:space="preserve">Holding an organization to account if a person associated with the organization bribes another person.  Having adequate procedures in place to prevent bribery is a </w:t>
      </w:r>
      <w:r w:rsidR="009E4905">
        <w:rPr>
          <w:lang w:val="en-US"/>
        </w:rPr>
        <w:t>defense</w:t>
      </w:r>
      <w:r>
        <w:rPr>
          <w:lang w:val="en-US"/>
        </w:rPr>
        <w:t xml:space="preserve"> to this offence.</w:t>
      </w:r>
    </w:p>
    <w:p w14:paraId="6CF26A0C" w14:textId="1930115A" w:rsidR="00F03A84" w:rsidRDefault="00F03A84" w:rsidP="00F03A84">
      <w:pPr>
        <w:pStyle w:val="Bulletspaced"/>
        <w:numPr>
          <w:ilvl w:val="0"/>
          <w:numId w:val="0"/>
        </w:numPr>
        <w:ind w:left="567"/>
        <w:rPr>
          <w:lang w:val="en-US"/>
        </w:rPr>
      </w:pPr>
    </w:p>
    <w:p w14:paraId="64166A0F" w14:textId="77777777" w:rsidR="00031A78" w:rsidRPr="003B33C2" w:rsidRDefault="00031A78" w:rsidP="00F03A84">
      <w:pPr>
        <w:pStyle w:val="Bulletspaced"/>
        <w:numPr>
          <w:ilvl w:val="0"/>
          <w:numId w:val="0"/>
        </w:numPr>
        <w:ind w:left="567"/>
        <w:rPr>
          <w:lang w:val="en-US"/>
        </w:rPr>
      </w:pPr>
    </w:p>
    <w:p w14:paraId="1631F9C6" w14:textId="77777777" w:rsidR="005D024B" w:rsidRPr="003B33C2" w:rsidRDefault="001802D1" w:rsidP="00692538">
      <w:pPr>
        <w:pStyle w:val="Numberedbody"/>
        <w:spacing w:before="240"/>
        <w:rPr>
          <w:lang w:val="en-US"/>
        </w:rPr>
      </w:pPr>
      <w:r w:rsidRPr="003B33C2">
        <w:rPr>
          <w:lang w:val="en-US"/>
        </w:rPr>
        <w:t>Bribery will occur in circumstances involving:</w:t>
      </w:r>
    </w:p>
    <w:p w14:paraId="1647D7EE" w14:textId="77777777" w:rsidR="005D024B" w:rsidRPr="003B33C2" w:rsidRDefault="001802D1" w:rsidP="005D024B">
      <w:pPr>
        <w:pStyle w:val="Bulletspaced"/>
        <w:rPr>
          <w:lang w:val="en-US"/>
        </w:rPr>
      </w:pPr>
      <w:r w:rsidRPr="003B33C2">
        <w:rPr>
          <w:lang w:val="en-US"/>
        </w:rPr>
        <w:lastRenderedPageBreak/>
        <w:t>The offering, giving, solicitation or the acceptance of any inducement or reward (whether financial or otherwise);</w:t>
      </w:r>
    </w:p>
    <w:p w14:paraId="5D338560" w14:textId="77777777" w:rsidR="005D024B" w:rsidRPr="003B33C2" w:rsidRDefault="001802D1" w:rsidP="005D024B">
      <w:pPr>
        <w:pStyle w:val="Bulletspaced"/>
        <w:rPr>
          <w:lang w:val="en-US"/>
        </w:rPr>
      </w:pPr>
      <w:r w:rsidRPr="003B33C2">
        <w:rPr>
          <w:lang w:val="en-US"/>
        </w:rPr>
        <w:t>To or from a person or company, wherever they are situated and whether they are a public official or body or private person or company;</w:t>
      </w:r>
    </w:p>
    <w:p w14:paraId="1C908B65" w14:textId="77777777" w:rsidR="005D024B" w:rsidRPr="003B33C2" w:rsidRDefault="001802D1" w:rsidP="005D024B">
      <w:pPr>
        <w:pStyle w:val="Bulletspaced"/>
        <w:rPr>
          <w:lang w:val="en-US"/>
        </w:rPr>
      </w:pPr>
      <w:r w:rsidRPr="003B33C2">
        <w:rPr>
          <w:lang w:val="en-US"/>
        </w:rPr>
        <w:t>By any individual employee, Board Member or Commissioner, acting on the Commission’s behalf;</w:t>
      </w:r>
    </w:p>
    <w:p w14:paraId="70405B29" w14:textId="77777777" w:rsidR="005D024B" w:rsidRPr="003B33C2" w:rsidRDefault="001802D1" w:rsidP="005D024B">
      <w:pPr>
        <w:pStyle w:val="Bulletspaced"/>
        <w:rPr>
          <w:lang w:val="en-US"/>
        </w:rPr>
      </w:pPr>
      <w:r w:rsidRPr="003B33C2">
        <w:rPr>
          <w:lang w:val="en-US"/>
        </w:rPr>
        <w:t>Which is intended to amount to or bring about improper performance of a relevant function or activity of the person or company;</w:t>
      </w:r>
    </w:p>
    <w:p w14:paraId="6FF619F2" w14:textId="77777777" w:rsidR="005D024B" w:rsidRPr="003B33C2" w:rsidRDefault="001802D1" w:rsidP="00692538">
      <w:pPr>
        <w:pStyle w:val="Numberedbody"/>
        <w:spacing w:before="240"/>
        <w:rPr>
          <w:lang w:val="en-US"/>
        </w:rPr>
      </w:pPr>
      <w:r w:rsidRPr="003B33C2">
        <w:rPr>
          <w:lang w:val="en-US"/>
        </w:rPr>
        <w:t>A relevant function will be:</w:t>
      </w:r>
    </w:p>
    <w:p w14:paraId="08484D7B" w14:textId="77777777" w:rsidR="005D024B" w:rsidRPr="003B33C2" w:rsidRDefault="001802D1" w:rsidP="005D024B">
      <w:pPr>
        <w:pStyle w:val="Bulletspaced"/>
        <w:rPr>
          <w:lang w:val="en-US"/>
        </w:rPr>
      </w:pPr>
      <w:r w:rsidRPr="003B33C2">
        <w:rPr>
          <w:lang w:val="en-US"/>
        </w:rPr>
        <w:t xml:space="preserve">any function of a public nature; </w:t>
      </w:r>
    </w:p>
    <w:p w14:paraId="58D124F9" w14:textId="77777777" w:rsidR="005D024B" w:rsidRPr="003B33C2" w:rsidRDefault="001802D1" w:rsidP="005D024B">
      <w:pPr>
        <w:pStyle w:val="Bulletspaced"/>
        <w:rPr>
          <w:lang w:val="en-US"/>
        </w:rPr>
      </w:pPr>
      <w:r w:rsidRPr="003B33C2">
        <w:rPr>
          <w:lang w:val="en-US"/>
        </w:rPr>
        <w:t>any activity connected with a business (including a trade or profession);</w:t>
      </w:r>
    </w:p>
    <w:p w14:paraId="6A84549F" w14:textId="77777777" w:rsidR="005D024B" w:rsidRPr="003B33C2" w:rsidRDefault="001802D1" w:rsidP="005D024B">
      <w:pPr>
        <w:pStyle w:val="Bulletspaced"/>
        <w:rPr>
          <w:lang w:val="en-US"/>
        </w:rPr>
      </w:pPr>
      <w:r w:rsidRPr="003B33C2">
        <w:rPr>
          <w:lang w:val="en-US"/>
        </w:rPr>
        <w:t xml:space="preserve">any activity performed in the course of a person's employment; or </w:t>
      </w:r>
    </w:p>
    <w:p w14:paraId="71AF54BD" w14:textId="77777777" w:rsidR="005D024B" w:rsidRPr="003B33C2" w:rsidRDefault="001802D1" w:rsidP="005D024B">
      <w:pPr>
        <w:pStyle w:val="Bulletspaced"/>
        <w:rPr>
          <w:lang w:val="en-US"/>
        </w:rPr>
      </w:pPr>
      <w:r w:rsidRPr="003B33C2">
        <w:rPr>
          <w:lang w:val="en-US"/>
        </w:rPr>
        <w:t>any activity performed by or on behalf of a body of persons (whether corporate or unincorporate).</w:t>
      </w:r>
    </w:p>
    <w:p w14:paraId="6E52D5F6" w14:textId="77EB5694" w:rsidR="005D024B" w:rsidRPr="003B33C2" w:rsidRDefault="001802D1" w:rsidP="00692538">
      <w:pPr>
        <w:pStyle w:val="Numberedbody"/>
        <w:spacing w:before="240"/>
        <w:rPr>
          <w:lang w:val="en-US"/>
        </w:rPr>
      </w:pPr>
      <w:r w:rsidRPr="003B33C2">
        <w:rPr>
          <w:lang w:val="en-US"/>
        </w:rPr>
        <w:t>Improper performance will occur where there has been a breach of a relevant expectation – i.e. the expectation that the function or activity will be performed in good faith, impartially and in a certain manner by the person who is in a position of trust.</w:t>
      </w:r>
      <w:r w:rsidR="00464A13">
        <w:rPr>
          <w:lang w:val="en-US"/>
        </w:rPr>
        <w:t xml:space="preserve">  This could include</w:t>
      </w:r>
      <w:r w:rsidR="00D36626">
        <w:rPr>
          <w:lang w:val="en-US"/>
        </w:rPr>
        <w:t xml:space="preserve"> </w:t>
      </w:r>
      <w:r w:rsidR="00D36626">
        <w:rPr>
          <w:i/>
          <w:iCs/>
          <w:lang w:val="en-US"/>
        </w:rPr>
        <w:t>not</w:t>
      </w:r>
      <w:r w:rsidR="00D36626">
        <w:rPr>
          <w:lang w:val="en-US"/>
        </w:rPr>
        <w:t xml:space="preserve"> taking action or investigating when the circumstances would require so.</w:t>
      </w:r>
    </w:p>
    <w:p w14:paraId="7AE72F95" w14:textId="4877958C" w:rsidR="005D024B" w:rsidRDefault="001802D1" w:rsidP="00692538">
      <w:pPr>
        <w:pStyle w:val="Numberedbody"/>
        <w:spacing w:before="240"/>
        <w:rPr>
          <w:lang w:val="en-US"/>
        </w:rPr>
      </w:pPr>
      <w:r w:rsidRPr="003B33C2">
        <w:rPr>
          <w:lang w:val="en-US"/>
        </w:rPr>
        <w:t>The Commission could therefore be affected by the bribing of others by its employees, or through its own officials being bribed by others.</w:t>
      </w:r>
    </w:p>
    <w:p w14:paraId="6C7693AB" w14:textId="77777777" w:rsidR="005D024B" w:rsidRPr="003B33C2" w:rsidRDefault="001802D1" w:rsidP="005D024B">
      <w:pPr>
        <w:pStyle w:val="B-head"/>
        <w:rPr>
          <w:lang w:val="en-US"/>
        </w:rPr>
      </w:pPr>
      <w:bookmarkStart w:id="3" w:name="_Toc70352670"/>
      <w:r>
        <w:rPr>
          <w:lang w:val="en-US"/>
        </w:rPr>
        <w:t>Responsibilities</w:t>
      </w:r>
      <w:bookmarkEnd w:id="3"/>
    </w:p>
    <w:p w14:paraId="1C0BE83B" w14:textId="77777777" w:rsidR="00D26E45" w:rsidRDefault="001802D1" w:rsidP="00D26E45">
      <w:pPr>
        <w:pStyle w:val="C-head"/>
      </w:pPr>
      <w:r>
        <w:t xml:space="preserve">Staff </w:t>
      </w:r>
      <w:r w:rsidR="00FD620C">
        <w:t>r</w:t>
      </w:r>
      <w:r>
        <w:t>esponsibilities</w:t>
      </w:r>
    </w:p>
    <w:p w14:paraId="0FD8E27F" w14:textId="77777777" w:rsidR="00D26E45" w:rsidRDefault="001802D1" w:rsidP="00692538">
      <w:pPr>
        <w:pStyle w:val="Numberedbody"/>
        <w:spacing w:before="240"/>
      </w:pPr>
      <w:r>
        <w:t>Every member of staff is responsible for:</w:t>
      </w:r>
    </w:p>
    <w:p w14:paraId="0E75EB6C" w14:textId="77777777" w:rsidR="00D26E45" w:rsidRDefault="001802D1" w:rsidP="00D26E45">
      <w:pPr>
        <w:pStyle w:val="Bulletspaced"/>
      </w:pPr>
      <w:r>
        <w:t>Acting with propriety in the use of resources and the handling and use of public funds whether they are involved with cash or payments systems, receipts or dealing with suppliers;</w:t>
      </w:r>
    </w:p>
    <w:p w14:paraId="5CD53412" w14:textId="77777777" w:rsidR="00D26E45" w:rsidRDefault="001802D1" w:rsidP="00D26E45">
      <w:pPr>
        <w:pStyle w:val="Bulletspaced"/>
      </w:pPr>
      <w:r>
        <w:t xml:space="preserve">Conducting themselves in accordance with the Commission’s Code of Conduct and any other policies specifying staff </w:t>
      </w:r>
      <w:r w:rsidR="004749E4">
        <w:t>behaviour ;</w:t>
      </w:r>
    </w:p>
    <w:p w14:paraId="7A3B8C53" w14:textId="77777777" w:rsidR="00D26E45" w:rsidRDefault="001802D1" w:rsidP="00D26E45">
      <w:pPr>
        <w:pStyle w:val="Bulletspaced"/>
      </w:pPr>
      <w:r>
        <w:t>Being alert to the possibility that unusual events or transactions could be indicators of fraud;</w:t>
      </w:r>
    </w:p>
    <w:p w14:paraId="59833AAC" w14:textId="77777777" w:rsidR="00D26E45" w:rsidRDefault="001802D1" w:rsidP="00D26E45">
      <w:pPr>
        <w:pStyle w:val="Bulletspaced"/>
      </w:pPr>
      <w:r>
        <w:t>Reporting details immediately through the appropriate channel if they suspect that a fraud has been committed or see any suspicious acts or events; and</w:t>
      </w:r>
    </w:p>
    <w:p w14:paraId="1A6EAF54" w14:textId="77777777" w:rsidR="00D26E45" w:rsidRDefault="001802D1" w:rsidP="00D26E45">
      <w:pPr>
        <w:pStyle w:val="Bulletspaced"/>
      </w:pPr>
      <w:r>
        <w:t>Cooperating fully with whoever is conducting internal checks or reviews or fraud investigations.</w:t>
      </w:r>
    </w:p>
    <w:p w14:paraId="1B8BE379" w14:textId="77777777" w:rsidR="00E84D17" w:rsidRDefault="00E84D17" w:rsidP="00D26E45">
      <w:pPr>
        <w:pStyle w:val="C-head"/>
      </w:pPr>
    </w:p>
    <w:p w14:paraId="2348F100" w14:textId="60A26947" w:rsidR="00D26E45" w:rsidRDefault="001802D1" w:rsidP="00D26E45">
      <w:pPr>
        <w:pStyle w:val="C-head"/>
      </w:pPr>
      <w:r>
        <w:lastRenderedPageBreak/>
        <w:t xml:space="preserve">Manager </w:t>
      </w:r>
      <w:r w:rsidR="00FD620C">
        <w:t>r</w:t>
      </w:r>
      <w:r>
        <w:t>esponsibilities</w:t>
      </w:r>
    </w:p>
    <w:p w14:paraId="40524B6A" w14:textId="77777777" w:rsidR="00D26E45" w:rsidRPr="00692538" w:rsidRDefault="001802D1" w:rsidP="00692538">
      <w:pPr>
        <w:pStyle w:val="Numberedbody"/>
        <w:spacing w:before="240"/>
        <w:rPr>
          <w:lang w:val="en-US"/>
        </w:rPr>
      </w:pPr>
      <w:r w:rsidRPr="00692538">
        <w:rPr>
          <w:lang w:val="en-US"/>
        </w:rPr>
        <w:t>In addition to their responsibilities as staff member</w:t>
      </w:r>
      <w:r w:rsidR="004749E4" w:rsidRPr="00692538">
        <w:rPr>
          <w:lang w:val="en-US"/>
        </w:rPr>
        <w:t>s</w:t>
      </w:r>
      <w:r w:rsidRPr="00692538">
        <w:rPr>
          <w:lang w:val="en-US"/>
        </w:rPr>
        <w:t>, all managers must be familiar with the types of improprieties that might occur within their area of responsibility, and be alert for any indication of irregularity.</w:t>
      </w:r>
    </w:p>
    <w:p w14:paraId="3024071D" w14:textId="77777777" w:rsidR="00D26E45" w:rsidRPr="00692538" w:rsidRDefault="001802D1" w:rsidP="00692538">
      <w:pPr>
        <w:pStyle w:val="Numberedbody"/>
        <w:spacing w:before="240"/>
        <w:rPr>
          <w:lang w:val="en-US"/>
        </w:rPr>
      </w:pPr>
      <w:r w:rsidRPr="00692538">
        <w:rPr>
          <w:lang w:val="en-US"/>
        </w:rPr>
        <w:t xml:space="preserve">Managers must also be alert for fraud </w:t>
      </w:r>
      <w:r w:rsidR="004749E4" w:rsidRPr="00692538">
        <w:rPr>
          <w:lang w:val="en-US"/>
        </w:rPr>
        <w:t xml:space="preserve">and bribery </w:t>
      </w:r>
      <w:r w:rsidRPr="00692538">
        <w:rPr>
          <w:lang w:val="en-US"/>
        </w:rPr>
        <w:t>across the Commission.  This requires knowledge of the business as a whole, as well as specialist knowledge of their area of responsibility.  Management at all levels within the Commission is responsible for the prevention and detection of fraud</w:t>
      </w:r>
      <w:r w:rsidR="004749E4" w:rsidRPr="00692538">
        <w:rPr>
          <w:lang w:val="en-US"/>
        </w:rPr>
        <w:t xml:space="preserve"> and bribery</w:t>
      </w:r>
      <w:r w:rsidRPr="00692538">
        <w:rPr>
          <w:lang w:val="en-US"/>
        </w:rPr>
        <w:t>. In particular, they are responsible for:</w:t>
      </w:r>
    </w:p>
    <w:p w14:paraId="7131A2B2" w14:textId="77777777" w:rsidR="00D26E45" w:rsidRDefault="001802D1" w:rsidP="00D26E45">
      <w:pPr>
        <w:pStyle w:val="Bulletspaced"/>
      </w:pPr>
      <w:r>
        <w:t>Identifying the risks to which systems, operations and procedures are exposed;</w:t>
      </w:r>
    </w:p>
    <w:p w14:paraId="183B8B97" w14:textId="77777777" w:rsidR="00D26E45" w:rsidRDefault="001802D1" w:rsidP="00D26E45">
      <w:pPr>
        <w:pStyle w:val="Bulletspaced"/>
      </w:pPr>
      <w:r>
        <w:t>Developing and maintaining effective controls to prevent and detect fraud; and</w:t>
      </w:r>
    </w:p>
    <w:p w14:paraId="3F66DC53" w14:textId="77777777" w:rsidR="00D26E45" w:rsidRDefault="001802D1" w:rsidP="00D26E45">
      <w:pPr>
        <w:pStyle w:val="Bulletspaced"/>
      </w:pPr>
      <w:r>
        <w:t>Ensuring that controls are being complied with.</w:t>
      </w:r>
    </w:p>
    <w:p w14:paraId="681F2608" w14:textId="77777777" w:rsidR="005D024B" w:rsidRPr="005D024B" w:rsidRDefault="001802D1" w:rsidP="005D024B">
      <w:pPr>
        <w:pStyle w:val="C-head"/>
      </w:pPr>
      <w:r w:rsidRPr="005D024B">
        <w:t xml:space="preserve">Accounting Officer’s </w:t>
      </w:r>
      <w:r w:rsidR="00FD620C">
        <w:t>r</w:t>
      </w:r>
      <w:r w:rsidRPr="005D024B">
        <w:t>esponsibilities</w:t>
      </w:r>
    </w:p>
    <w:p w14:paraId="0E02DE7F" w14:textId="77777777" w:rsidR="005D024B" w:rsidRPr="00692538" w:rsidRDefault="001802D1" w:rsidP="00692538">
      <w:pPr>
        <w:pStyle w:val="Numberedbody"/>
        <w:spacing w:before="240"/>
        <w:rPr>
          <w:lang w:val="en-US"/>
        </w:rPr>
      </w:pPr>
      <w:r w:rsidRPr="00692538">
        <w:rPr>
          <w:lang w:val="en-US"/>
        </w:rPr>
        <w:t xml:space="preserve">The Accounting Officer, who is the Commission’s Chief Executive, is responsible for establishing and maintaining a sound system of internal control that supports the achievement of departmental policies, aims and objectives. The system of internal control is designed to respond to and manage the whole range of risks that a department faces. The system of internal control is based on an on-going process designed to identify the principal risks, to evaluate the nature and extent of those risks and to manage them effectively. Managing </w:t>
      </w:r>
      <w:r w:rsidR="00D26E45" w:rsidRPr="00692538">
        <w:rPr>
          <w:lang w:val="en-US"/>
        </w:rPr>
        <w:t xml:space="preserve">the risks of fraud and bribery </w:t>
      </w:r>
      <w:r w:rsidRPr="00692538">
        <w:rPr>
          <w:lang w:val="en-US"/>
        </w:rPr>
        <w:t>will be seen in the context of the management of this wider range of risks.</w:t>
      </w:r>
    </w:p>
    <w:p w14:paraId="1F1E5C98" w14:textId="77777777" w:rsidR="005D024B" w:rsidRPr="00692538" w:rsidRDefault="001802D1" w:rsidP="00692538">
      <w:pPr>
        <w:pStyle w:val="Numberedbody"/>
        <w:spacing w:before="240"/>
        <w:rPr>
          <w:lang w:val="en-US"/>
        </w:rPr>
      </w:pPr>
      <w:r w:rsidRPr="00692538">
        <w:rPr>
          <w:lang w:val="en-US"/>
        </w:rPr>
        <w:t xml:space="preserve">The Commission’s Accounting Officer has a responsibility to act in the wider interest of the Exchequer as well as </w:t>
      </w:r>
      <w:r w:rsidR="004749E4" w:rsidRPr="00692538">
        <w:rPr>
          <w:lang w:val="en-US"/>
        </w:rPr>
        <w:t>specifically</w:t>
      </w:r>
      <w:r w:rsidRPr="00692538">
        <w:rPr>
          <w:lang w:val="en-US"/>
        </w:rPr>
        <w:t xml:space="preserve"> for the Commission.  The Commission support</w:t>
      </w:r>
      <w:r w:rsidR="004749E4" w:rsidRPr="00692538">
        <w:rPr>
          <w:lang w:val="en-US"/>
        </w:rPr>
        <w:t>s</w:t>
      </w:r>
      <w:r w:rsidRPr="00692538">
        <w:rPr>
          <w:lang w:val="en-US"/>
        </w:rPr>
        <w:t xml:space="preserve"> the Accounting Officer in this by providing all lawful support to other bodies’ anti-fraud and anti-bribery efforts</w:t>
      </w:r>
      <w:r w:rsidR="004749E4" w:rsidRPr="00692538">
        <w:rPr>
          <w:lang w:val="en-US"/>
        </w:rPr>
        <w:t>, both pro-actively where irregularity against another body is suspected and reactively when suspected irregularity is raised with the Commission by another body</w:t>
      </w:r>
      <w:r w:rsidRPr="00692538">
        <w:rPr>
          <w:lang w:val="en-US"/>
        </w:rPr>
        <w:t xml:space="preserve">. </w:t>
      </w:r>
    </w:p>
    <w:p w14:paraId="6AD2FE5F" w14:textId="77777777" w:rsidR="004749E4" w:rsidRDefault="001802D1" w:rsidP="004749E4">
      <w:pPr>
        <w:pStyle w:val="C-head"/>
      </w:pPr>
      <w:r>
        <w:t xml:space="preserve">Internal Audit’s </w:t>
      </w:r>
      <w:r w:rsidR="00FD620C">
        <w:t>r</w:t>
      </w:r>
      <w:r>
        <w:t>esponsibilities</w:t>
      </w:r>
    </w:p>
    <w:p w14:paraId="3B756378" w14:textId="77777777" w:rsidR="004749E4" w:rsidRPr="00692538" w:rsidRDefault="001802D1" w:rsidP="00692538">
      <w:pPr>
        <w:pStyle w:val="Numberedbody"/>
        <w:spacing w:before="240"/>
        <w:rPr>
          <w:lang w:val="en-US"/>
        </w:rPr>
      </w:pPr>
      <w:r w:rsidRPr="00692538">
        <w:rPr>
          <w:lang w:val="en-US"/>
        </w:rPr>
        <w:t>Internal Audit is responsible for:</w:t>
      </w:r>
    </w:p>
    <w:p w14:paraId="2175CE3C" w14:textId="77777777" w:rsidR="004749E4" w:rsidRDefault="001802D1" w:rsidP="004749E4">
      <w:pPr>
        <w:pStyle w:val="Bulletspaced"/>
      </w:pPr>
      <w:r>
        <w:t>Delivering an annual opinion to the Accounting Officer on the adequacy of the system of internal controls, including arrangements for managing the risk of fraud and bribery;</w:t>
      </w:r>
    </w:p>
    <w:p w14:paraId="3F758CE5" w14:textId="77777777" w:rsidR="004749E4" w:rsidRDefault="001802D1" w:rsidP="004749E4">
      <w:pPr>
        <w:pStyle w:val="Bulletspaced"/>
      </w:pPr>
      <w:r>
        <w:t>Assisting in the deterrence and prevention of irregularity by examining and evaluating the effectiveness of control commensurate with the extent of the potential exposure / risk in the various segments of the Commission’s operations;</w:t>
      </w:r>
    </w:p>
    <w:p w14:paraId="1BAAF068" w14:textId="77777777" w:rsidR="004749E4" w:rsidRDefault="001802D1" w:rsidP="004749E4">
      <w:pPr>
        <w:pStyle w:val="Bulletspaced"/>
      </w:pPr>
      <w:r>
        <w:t>Examining and advising upon the adequacy of arrangements by management to review and identify the possibility of fraud as a business risk; and</w:t>
      </w:r>
    </w:p>
    <w:p w14:paraId="07D576A3" w14:textId="77777777" w:rsidR="004749E4" w:rsidRDefault="001802D1" w:rsidP="004749E4">
      <w:pPr>
        <w:pStyle w:val="Bulletspaced"/>
      </w:pPr>
      <w:r>
        <w:t>Assisting those conducting internal fraud investigations.</w:t>
      </w:r>
    </w:p>
    <w:p w14:paraId="2E510FD6" w14:textId="77777777" w:rsidR="00E84D17" w:rsidRDefault="00E84D17" w:rsidP="004749E4">
      <w:pPr>
        <w:pStyle w:val="C-head"/>
      </w:pPr>
    </w:p>
    <w:p w14:paraId="23350F2D" w14:textId="1166C2EF" w:rsidR="004749E4" w:rsidRDefault="001802D1" w:rsidP="004749E4">
      <w:pPr>
        <w:pStyle w:val="C-head"/>
      </w:pPr>
      <w:r>
        <w:lastRenderedPageBreak/>
        <w:t xml:space="preserve">External Audit </w:t>
      </w:r>
      <w:r w:rsidR="00FD620C">
        <w:t>r</w:t>
      </w:r>
      <w:r>
        <w:t>esponsibilities</w:t>
      </w:r>
    </w:p>
    <w:p w14:paraId="45940185" w14:textId="77777777" w:rsidR="004749E4" w:rsidRPr="00692538" w:rsidRDefault="001802D1" w:rsidP="00692538">
      <w:pPr>
        <w:pStyle w:val="Numberedbody"/>
        <w:spacing w:before="240"/>
        <w:rPr>
          <w:lang w:val="en-US"/>
        </w:rPr>
      </w:pPr>
      <w:r w:rsidRPr="00692538">
        <w:rPr>
          <w:lang w:val="en-US"/>
        </w:rPr>
        <w:t>External Audit is responsible for:</w:t>
      </w:r>
    </w:p>
    <w:p w14:paraId="5A0B32CB" w14:textId="77777777" w:rsidR="004749E4" w:rsidRDefault="001802D1" w:rsidP="004749E4">
      <w:pPr>
        <w:pStyle w:val="Bulletspaced"/>
      </w:pPr>
      <w:r>
        <w:t>Conducting financial audit work in accordance with audit procedures that are designed to consider fraud;</w:t>
      </w:r>
    </w:p>
    <w:p w14:paraId="7AA869AA" w14:textId="77777777" w:rsidR="004749E4" w:rsidRDefault="001802D1" w:rsidP="004749E4">
      <w:pPr>
        <w:pStyle w:val="Bulletspaced"/>
      </w:pPr>
      <w:r>
        <w:t>Carrying out targeted value for money studies that may identify and assess fraud risk, and raise awareness of control and system weaknesses;</w:t>
      </w:r>
    </w:p>
    <w:p w14:paraId="29EA8962" w14:textId="77777777" w:rsidR="004749E4" w:rsidRDefault="001802D1" w:rsidP="004749E4">
      <w:pPr>
        <w:pStyle w:val="Bulletspaced"/>
      </w:pPr>
      <w:r>
        <w:t>Considering regularity of expenditure with specific attention to risk of fraud and mitigation measures; and</w:t>
      </w:r>
    </w:p>
    <w:p w14:paraId="25A53A5D" w14:textId="77777777" w:rsidR="004749E4" w:rsidRDefault="001802D1" w:rsidP="004749E4">
      <w:pPr>
        <w:pStyle w:val="Bulletspaced"/>
      </w:pPr>
      <w:r>
        <w:t>Taking appropriate action in response to disclosures under the Public Interest Disclosure Act 1998 i.e. whistle blowing.</w:t>
      </w:r>
    </w:p>
    <w:p w14:paraId="1F3B5EB9" w14:textId="5EF6F72C" w:rsidR="009564C2" w:rsidRPr="002211E7" w:rsidRDefault="001802D1" w:rsidP="002211E7">
      <w:pPr>
        <w:pStyle w:val="B-head"/>
      </w:pPr>
      <w:bookmarkStart w:id="4" w:name="_Toc70352671"/>
      <w:r>
        <w:t>Identifying</w:t>
      </w:r>
      <w:r w:rsidR="00FD620C">
        <w:t>, i</w:t>
      </w:r>
      <w:r>
        <w:t xml:space="preserve">nvestigating </w:t>
      </w:r>
      <w:r w:rsidR="00FD620C">
        <w:t>and responding to fraud and b</w:t>
      </w:r>
      <w:r>
        <w:t>ribery</w:t>
      </w:r>
      <w:bookmarkEnd w:id="4"/>
    </w:p>
    <w:p w14:paraId="1606E65D" w14:textId="003D28F7" w:rsidR="00A75754" w:rsidRPr="000844CA" w:rsidRDefault="001802D1" w:rsidP="001469FB">
      <w:pPr>
        <w:pStyle w:val="Numberedbody"/>
        <w:numPr>
          <w:ilvl w:val="0"/>
          <w:numId w:val="0"/>
        </w:numPr>
        <w:ind w:left="567" w:hanging="567"/>
      </w:pPr>
      <w:r w:rsidRPr="000844CA">
        <w:t>Procedures for</w:t>
      </w:r>
      <w:r w:rsidR="001469FB">
        <w:t>:</w:t>
      </w:r>
      <w:r w:rsidRPr="000844CA">
        <w:t xml:space="preserve"> </w:t>
      </w:r>
    </w:p>
    <w:p w14:paraId="2F69E8D6" w14:textId="6089802B" w:rsidR="00A75754" w:rsidRPr="000844CA" w:rsidRDefault="001802D1" w:rsidP="001469FB">
      <w:pPr>
        <w:pStyle w:val="Numberedbody"/>
        <w:numPr>
          <w:ilvl w:val="0"/>
          <w:numId w:val="18"/>
        </w:numPr>
      </w:pPr>
      <w:r w:rsidRPr="000844CA">
        <w:t>Political Contributions</w:t>
      </w:r>
    </w:p>
    <w:p w14:paraId="0D1613F7" w14:textId="0684C727" w:rsidR="00A75754" w:rsidRPr="000844CA" w:rsidRDefault="001802D1" w:rsidP="001469FB">
      <w:pPr>
        <w:pStyle w:val="Numberedbody"/>
        <w:numPr>
          <w:ilvl w:val="0"/>
          <w:numId w:val="18"/>
        </w:numPr>
      </w:pPr>
      <w:r w:rsidRPr="000844CA">
        <w:t>Charitable Donations and Sponsorships</w:t>
      </w:r>
    </w:p>
    <w:p w14:paraId="2308A361" w14:textId="2ED8D42C" w:rsidR="00A75754" w:rsidRPr="000844CA" w:rsidRDefault="001802D1" w:rsidP="001469FB">
      <w:pPr>
        <w:pStyle w:val="Numberedbody"/>
        <w:numPr>
          <w:ilvl w:val="0"/>
          <w:numId w:val="18"/>
        </w:numPr>
      </w:pPr>
      <w:r w:rsidRPr="000844CA">
        <w:t xml:space="preserve">Facilitation Payments </w:t>
      </w:r>
    </w:p>
    <w:p w14:paraId="5CBE1052" w14:textId="4F507961" w:rsidR="00F03A84" w:rsidRPr="00F03A84" w:rsidRDefault="001802D1" w:rsidP="001469FB">
      <w:pPr>
        <w:pStyle w:val="Numberedbody"/>
        <w:numPr>
          <w:ilvl w:val="0"/>
          <w:numId w:val="18"/>
        </w:numPr>
      </w:pPr>
      <w:r w:rsidRPr="000844CA">
        <w:t>Gifts, Hospitality and Travel Expenses</w:t>
      </w:r>
      <w:r w:rsidR="009564C2" w:rsidRPr="000844CA">
        <w:t xml:space="preserve"> </w:t>
      </w:r>
    </w:p>
    <w:p w14:paraId="3920B5E6" w14:textId="77777777" w:rsidR="005D024B" w:rsidRDefault="001802D1" w:rsidP="005D024B">
      <w:pPr>
        <w:pStyle w:val="C-head"/>
      </w:pPr>
      <w:r>
        <w:t xml:space="preserve">Possible </w:t>
      </w:r>
      <w:r w:rsidR="00FD620C">
        <w:t>s</w:t>
      </w:r>
      <w:r>
        <w:t xml:space="preserve">igns of </w:t>
      </w:r>
      <w:r w:rsidR="00FD620C">
        <w:t>i</w:t>
      </w:r>
      <w:r w:rsidR="00641757">
        <w:t xml:space="preserve">mpropriety </w:t>
      </w:r>
    </w:p>
    <w:p w14:paraId="36EF1577" w14:textId="77777777" w:rsidR="00EC21F6" w:rsidRPr="00692538" w:rsidRDefault="001802D1" w:rsidP="00692538">
      <w:pPr>
        <w:pStyle w:val="Numberedbody"/>
        <w:spacing w:before="240"/>
        <w:rPr>
          <w:lang w:val="en-US"/>
        </w:rPr>
      </w:pPr>
      <w:r w:rsidRPr="00692538">
        <w:rPr>
          <w:lang w:val="en-US"/>
        </w:rPr>
        <w:t xml:space="preserve">Circumstances might lead you to </w:t>
      </w:r>
      <w:r w:rsidR="00641757" w:rsidRPr="00692538">
        <w:rPr>
          <w:lang w:val="en-US"/>
        </w:rPr>
        <w:t>suspect that a fraud may be planned or be taking place.  You should then report the</w:t>
      </w:r>
      <w:r w:rsidRPr="00692538">
        <w:rPr>
          <w:lang w:val="en-US"/>
        </w:rPr>
        <w:t xml:space="preserve"> matter </w:t>
      </w:r>
      <w:r w:rsidR="00641757" w:rsidRPr="00692538">
        <w:rPr>
          <w:lang w:val="en-US"/>
        </w:rPr>
        <w:t>and</w:t>
      </w:r>
      <w:r w:rsidRPr="00692538">
        <w:rPr>
          <w:lang w:val="en-US"/>
        </w:rPr>
        <w:t xml:space="preserve"> put a</w:t>
      </w:r>
      <w:r w:rsidR="00641757" w:rsidRPr="00692538">
        <w:rPr>
          <w:lang w:val="en-US"/>
        </w:rPr>
        <w:t>ny planned</w:t>
      </w:r>
      <w:r w:rsidRPr="00692538">
        <w:rPr>
          <w:lang w:val="en-US"/>
        </w:rPr>
        <w:t xml:space="preserve"> transaction on hold. </w:t>
      </w:r>
      <w:r w:rsidR="00641757" w:rsidRPr="00692538">
        <w:rPr>
          <w:lang w:val="en-US"/>
        </w:rPr>
        <w:t xml:space="preserve"> </w:t>
      </w:r>
      <w:r w:rsidRPr="00692538">
        <w:rPr>
          <w:lang w:val="en-US"/>
        </w:rPr>
        <w:t>The sorts of questions you should be asking yourself include:</w:t>
      </w:r>
    </w:p>
    <w:p w14:paraId="0D175910" w14:textId="77777777" w:rsidR="00EC21F6" w:rsidRDefault="001802D1" w:rsidP="005D024B">
      <w:pPr>
        <w:pStyle w:val="Bulletspaced"/>
      </w:pPr>
      <w:r>
        <w:t xml:space="preserve">Who are you dealing with?  </w:t>
      </w:r>
    </w:p>
    <w:p w14:paraId="53C084B1" w14:textId="77777777" w:rsidR="00EC21F6" w:rsidRDefault="001802D1" w:rsidP="005D024B">
      <w:pPr>
        <w:pStyle w:val="Bulletspaced"/>
      </w:pPr>
      <w:r>
        <w:t xml:space="preserve">Where do they reside or work? </w:t>
      </w:r>
    </w:p>
    <w:p w14:paraId="1BAF57E4" w14:textId="77777777" w:rsidR="00EC21F6" w:rsidRDefault="001802D1" w:rsidP="005D024B">
      <w:pPr>
        <w:pStyle w:val="Bulletspaced"/>
      </w:pPr>
      <w:r>
        <w:t xml:space="preserve">What is their job (if relevant)? </w:t>
      </w:r>
    </w:p>
    <w:p w14:paraId="30CB7449" w14:textId="77777777" w:rsidR="00EC21F6" w:rsidRDefault="001802D1" w:rsidP="005D024B">
      <w:pPr>
        <w:pStyle w:val="Bulletspaced"/>
      </w:pPr>
      <w:r>
        <w:t xml:space="preserve">Are you unsure of any of these? You need to check to your satisfaction. </w:t>
      </w:r>
    </w:p>
    <w:p w14:paraId="0838DFAD" w14:textId="77777777" w:rsidR="00EC21F6" w:rsidRDefault="001802D1" w:rsidP="005D024B">
      <w:pPr>
        <w:pStyle w:val="Bulletspaced"/>
      </w:pPr>
      <w:r>
        <w:t xml:space="preserve">Have you met the person with whom you are dealing?  </w:t>
      </w:r>
    </w:p>
    <w:p w14:paraId="08E9AA72" w14:textId="77777777" w:rsidR="00EC21F6" w:rsidRDefault="001802D1" w:rsidP="005D024B">
      <w:pPr>
        <w:pStyle w:val="Bulletspaced"/>
      </w:pPr>
      <w:r>
        <w:t xml:space="preserve">Be very cautious about persons acting for unknown third parties; get details of those third parties and make contact with them. </w:t>
      </w:r>
    </w:p>
    <w:p w14:paraId="073C8C8B" w14:textId="77777777" w:rsidR="00EC21F6" w:rsidRDefault="001802D1" w:rsidP="005D024B">
      <w:pPr>
        <w:pStyle w:val="Bulletspaced"/>
      </w:pPr>
      <w:r>
        <w:t xml:space="preserve">Look out for the unusual, e.g. where there is a difference between the identity of the person with whom you are dealing and the details of an account or a difference between the account holder and the signatory or someone agreeing to a lesser sum too easily. </w:t>
      </w:r>
    </w:p>
    <w:p w14:paraId="38E85BA8" w14:textId="77777777" w:rsidR="00EC21F6" w:rsidRDefault="001802D1" w:rsidP="005D024B">
      <w:pPr>
        <w:pStyle w:val="Bulletspaced"/>
      </w:pPr>
      <w:r>
        <w:t xml:space="preserve">Look out for what appears (without explanation) to be a loss-making activity, for example an uneconomic tender for work or an unrealistic price being paid for something.    </w:t>
      </w:r>
    </w:p>
    <w:p w14:paraId="4511077C" w14:textId="77777777" w:rsidR="00EC21F6" w:rsidRPr="00692538" w:rsidRDefault="001802D1" w:rsidP="00692538">
      <w:pPr>
        <w:pStyle w:val="Numberedbody"/>
        <w:spacing w:before="240"/>
        <w:rPr>
          <w:lang w:val="en-US"/>
        </w:rPr>
      </w:pPr>
      <w:r w:rsidRPr="00692538">
        <w:rPr>
          <w:lang w:val="en-US"/>
        </w:rPr>
        <w:t>Managers and all other staff should also be alerted to any warning signs that might indicate that fraud is taking place</w:t>
      </w:r>
      <w:r w:rsidR="00641757" w:rsidRPr="00692538">
        <w:rPr>
          <w:lang w:val="en-US"/>
        </w:rPr>
        <w:t xml:space="preserve"> within the Commission</w:t>
      </w:r>
      <w:r w:rsidRPr="00692538">
        <w:rPr>
          <w:lang w:val="en-US"/>
        </w:rPr>
        <w:t xml:space="preserve">. These may include: staff </w:t>
      </w:r>
      <w:r w:rsidRPr="00692538">
        <w:rPr>
          <w:lang w:val="en-US"/>
        </w:rPr>
        <w:lastRenderedPageBreak/>
        <w:t>under stress without a high workload; staff always working late</w:t>
      </w:r>
      <w:r w:rsidR="00641757" w:rsidRPr="00692538">
        <w:rPr>
          <w:lang w:val="en-US"/>
        </w:rPr>
        <w:t xml:space="preserve"> without obvious explanation</w:t>
      </w:r>
      <w:r w:rsidRPr="00692538">
        <w:rPr>
          <w:lang w:val="en-US"/>
        </w:rPr>
        <w:t>; staff reluctance to take leave; refusal of promotion; unexplained wealth; sudden change of lifestyle; new staff resigning quickly; close relationships with suppliers / contractors; suppliers / contractors who insist on dealing with one particular member of staff.</w:t>
      </w:r>
      <w:r w:rsidR="00641757" w:rsidRPr="00692538">
        <w:rPr>
          <w:lang w:val="en-US"/>
        </w:rPr>
        <w:t xml:space="preserve">  Of course, many of these signs may have other causes and it is therefore important that any suspicions are investigated appropriately.  </w:t>
      </w:r>
    </w:p>
    <w:p w14:paraId="3958F684" w14:textId="77777777" w:rsidR="00641757" w:rsidRDefault="001802D1" w:rsidP="00641757">
      <w:pPr>
        <w:pStyle w:val="C-head"/>
      </w:pPr>
      <w:r>
        <w:t xml:space="preserve">Reporting </w:t>
      </w:r>
      <w:r w:rsidR="00FD620C">
        <w:t>f</w:t>
      </w:r>
      <w:r w:rsidR="005C24C7">
        <w:t xml:space="preserve">raud and </w:t>
      </w:r>
      <w:r w:rsidR="00FD620C">
        <w:t>b</w:t>
      </w:r>
      <w:r>
        <w:t>ribery</w:t>
      </w:r>
    </w:p>
    <w:p w14:paraId="24F5F0F5" w14:textId="77777777" w:rsidR="00641757" w:rsidRPr="00692538" w:rsidRDefault="001802D1" w:rsidP="00692538">
      <w:pPr>
        <w:pStyle w:val="Numberedbody"/>
        <w:spacing w:before="240"/>
        <w:rPr>
          <w:lang w:val="en-US"/>
        </w:rPr>
      </w:pPr>
      <w:r w:rsidRPr="00692538">
        <w:rPr>
          <w:lang w:val="en-US"/>
        </w:rPr>
        <w:t xml:space="preserve">If you discover or suspect </w:t>
      </w:r>
      <w:r w:rsidR="005C24C7" w:rsidRPr="00692538">
        <w:rPr>
          <w:lang w:val="en-US"/>
        </w:rPr>
        <w:t xml:space="preserve">fraud or </w:t>
      </w:r>
      <w:r w:rsidRPr="00692538">
        <w:rPr>
          <w:lang w:val="en-US"/>
        </w:rPr>
        <w:t xml:space="preserve">bribery you should, in the first instance, report your suspicions to your line manager. </w:t>
      </w:r>
      <w:r w:rsidR="00876BC0" w:rsidRPr="00692538">
        <w:rPr>
          <w:lang w:val="en-US"/>
        </w:rPr>
        <w:t xml:space="preserve"> </w:t>
      </w:r>
      <w:r w:rsidRPr="00692538">
        <w:rPr>
          <w:lang w:val="en-US"/>
        </w:rPr>
        <w:t>If such action would be inappropriate, your concerns should be reported to one of the following persons:</w:t>
      </w:r>
    </w:p>
    <w:p w14:paraId="0A29BA07" w14:textId="31803165" w:rsidR="00641757" w:rsidRDefault="001802D1" w:rsidP="00641757">
      <w:pPr>
        <w:pStyle w:val="Bulletspaced"/>
      </w:pPr>
      <w:r>
        <w:t>General Counsel; or</w:t>
      </w:r>
    </w:p>
    <w:p w14:paraId="7DD25BE8" w14:textId="77777777" w:rsidR="00641757" w:rsidRDefault="001802D1" w:rsidP="00641757">
      <w:pPr>
        <w:pStyle w:val="Bulletspaced"/>
      </w:pPr>
      <w:r>
        <w:t>Internal Auditor.</w:t>
      </w:r>
    </w:p>
    <w:p w14:paraId="42B7A63E" w14:textId="77777777" w:rsidR="00D82F0F" w:rsidRDefault="001802D1" w:rsidP="00692538">
      <w:pPr>
        <w:pStyle w:val="Numberedbody"/>
        <w:spacing w:before="240"/>
        <w:rPr>
          <w:lang w:val="en-US"/>
        </w:rPr>
      </w:pPr>
      <w:r w:rsidRPr="00692538">
        <w:rPr>
          <w:lang w:val="en-US"/>
        </w:rPr>
        <w:t>Alternatively, you may remain anonymous by telephoning the National Audit Office whistle blowing number (Tel 020 7798 7999).</w:t>
      </w:r>
      <w:r w:rsidR="00311D7D">
        <w:rPr>
          <w:lang w:val="en-US"/>
        </w:rPr>
        <w:t xml:space="preserve"> </w:t>
      </w:r>
    </w:p>
    <w:p w14:paraId="0D8E3D85" w14:textId="77777777" w:rsidR="00876BC0" w:rsidRPr="00692538" w:rsidRDefault="001802D1" w:rsidP="00692538">
      <w:pPr>
        <w:pStyle w:val="Numberedbody"/>
        <w:spacing w:before="240"/>
        <w:rPr>
          <w:lang w:val="en-US"/>
        </w:rPr>
      </w:pPr>
      <w:r w:rsidRPr="00692538">
        <w:rPr>
          <w:lang w:val="en-US"/>
        </w:rPr>
        <w:t>You should be careful not to reveal your suspicions to other people within or outside the Commission (except under whistleblowing arrangements), unless requested to do so by the person investigating.</w:t>
      </w:r>
    </w:p>
    <w:p w14:paraId="6F53E7A5" w14:textId="212C02A3" w:rsidR="00D82F0F" w:rsidRDefault="001802D1" w:rsidP="00692538">
      <w:pPr>
        <w:pStyle w:val="Numberedbody"/>
        <w:spacing w:before="240"/>
        <w:rPr>
          <w:lang w:val="en-US"/>
        </w:rPr>
      </w:pPr>
      <w:r w:rsidRPr="00692538">
        <w:rPr>
          <w:lang w:val="en-US"/>
        </w:rPr>
        <w:t>If you ask to have your identify protected and kept confidential, it will not be disclosed without your consent. If the situation arises where we are not able to resolve the concern without revealing your identi</w:t>
      </w:r>
      <w:r w:rsidR="00BC480B">
        <w:rPr>
          <w:lang w:val="en-US"/>
        </w:rPr>
        <w:t>t</w:t>
      </w:r>
      <w:r w:rsidRPr="00692538">
        <w:rPr>
          <w:lang w:val="en-US"/>
        </w:rPr>
        <w:t>y (e.g. evidence is needed at court) the Commission will discuss with you whether and how it can proceed.</w:t>
      </w:r>
      <w:r w:rsidR="00A13258">
        <w:rPr>
          <w:lang w:val="en-US"/>
        </w:rPr>
        <w:t xml:space="preserve"> </w:t>
      </w:r>
    </w:p>
    <w:p w14:paraId="24DAD835" w14:textId="13783807" w:rsidR="00641757" w:rsidRDefault="001802D1" w:rsidP="00692538">
      <w:pPr>
        <w:pStyle w:val="Numberedbody"/>
        <w:spacing w:before="240"/>
        <w:rPr>
          <w:lang w:val="en-US"/>
        </w:rPr>
      </w:pPr>
      <w:r>
        <w:rPr>
          <w:lang w:val="en-US"/>
        </w:rPr>
        <w:t>It will be important to maintain confidentiality and security while allegations are being investigated.  You should take appropriate measures to protect and preserve information and materials.  For example, placing access restrictions or password protections on folders</w:t>
      </w:r>
    </w:p>
    <w:p w14:paraId="0E1A8CF7" w14:textId="7449389D" w:rsidR="00D82F0F" w:rsidRPr="00692538" w:rsidRDefault="001802D1" w:rsidP="00692538">
      <w:pPr>
        <w:pStyle w:val="Numberedbody"/>
        <w:spacing w:before="240"/>
        <w:rPr>
          <w:lang w:val="en-US"/>
        </w:rPr>
      </w:pPr>
      <w:r>
        <w:rPr>
          <w:lang w:val="en-US"/>
        </w:rPr>
        <w:t>Dealing with fraud or bribery matters can be stressful.  The charity Protect has advice for whistleblowers on their website (</w:t>
      </w:r>
      <w:hyperlink r:id="rId14" w:history="1">
        <w:r w:rsidRPr="00CB429B">
          <w:rPr>
            <w:rStyle w:val="Hyperlink"/>
            <w:lang w:val="en-US"/>
          </w:rPr>
          <w:t>https://protect-advice.org.uk/advice-line/</w:t>
        </w:r>
      </w:hyperlink>
      <w:r>
        <w:rPr>
          <w:lang w:val="en-US"/>
        </w:rPr>
        <w:t>) and run a confidential telephone advice line (</w:t>
      </w:r>
      <w:r w:rsidRPr="00BC480B">
        <w:rPr>
          <w:lang w:val="en-US"/>
        </w:rPr>
        <w:t>020 3117 2520</w:t>
      </w:r>
      <w:r>
        <w:rPr>
          <w:lang w:val="en-US"/>
        </w:rPr>
        <w:t xml:space="preserve">).  The Employee Assistance </w:t>
      </w:r>
      <w:proofErr w:type="spellStart"/>
      <w:r>
        <w:rPr>
          <w:lang w:val="en-US"/>
        </w:rPr>
        <w:t>Programme</w:t>
      </w:r>
      <w:proofErr w:type="spellEnd"/>
      <w:r>
        <w:rPr>
          <w:lang w:val="en-US"/>
        </w:rPr>
        <w:t xml:space="preserve"> can also support your well-being during this stressful time.</w:t>
      </w:r>
    </w:p>
    <w:p w14:paraId="7AA52844" w14:textId="77777777" w:rsidR="005C24C7" w:rsidRDefault="001802D1" w:rsidP="005C24C7">
      <w:pPr>
        <w:pStyle w:val="C-head"/>
      </w:pPr>
      <w:r>
        <w:t xml:space="preserve">Investigating </w:t>
      </w:r>
      <w:r w:rsidR="00FD620C">
        <w:t>f</w:t>
      </w:r>
      <w:r>
        <w:t xml:space="preserve">raud and </w:t>
      </w:r>
      <w:r w:rsidR="00FD620C">
        <w:t>b</w:t>
      </w:r>
      <w:r>
        <w:t xml:space="preserve">ribery </w:t>
      </w:r>
    </w:p>
    <w:p w14:paraId="2D06AFB1" w14:textId="061DAF92" w:rsidR="005C24C7" w:rsidRDefault="001802D1" w:rsidP="00692538">
      <w:pPr>
        <w:pStyle w:val="Numberedbody"/>
        <w:spacing w:before="240"/>
      </w:pPr>
      <w:r w:rsidRPr="005C24C7">
        <w:t>Investigations into alleged bribery will as appropriate be taken forward by the police and</w:t>
      </w:r>
      <w:r>
        <w:t>/</w:t>
      </w:r>
      <w:r w:rsidRPr="005C24C7">
        <w:t xml:space="preserve">or consistent with the </w:t>
      </w:r>
      <w:r w:rsidR="005D3E6F">
        <w:t>Commission’s</w:t>
      </w:r>
      <w:r w:rsidR="00AF2CF9">
        <w:t xml:space="preserve"> </w:t>
      </w:r>
      <w:r w:rsidRPr="005C24C7">
        <w:t>investigation procedure</w:t>
      </w:r>
      <w:r w:rsidR="00876BC0">
        <w:t xml:space="preserve"> </w:t>
      </w:r>
      <w:r w:rsidR="00AF2CF9">
        <w:t xml:space="preserve">for fraud </w:t>
      </w:r>
      <w:r w:rsidR="000844CA">
        <w:t xml:space="preserve">and </w:t>
      </w:r>
      <w:r w:rsidR="00AF2CF9">
        <w:t>bribery</w:t>
      </w:r>
      <w:r w:rsidRPr="005C24C7">
        <w:t>.</w:t>
      </w:r>
    </w:p>
    <w:p w14:paraId="748EDDDB" w14:textId="77777777" w:rsidR="00FD620C" w:rsidRDefault="001802D1" w:rsidP="00FD620C">
      <w:pPr>
        <w:pStyle w:val="C-head"/>
      </w:pPr>
      <w:r>
        <w:t>Responding to fraud and bribery</w:t>
      </w:r>
    </w:p>
    <w:p w14:paraId="27E2227B" w14:textId="77777777" w:rsidR="00FD620C" w:rsidRPr="00692538" w:rsidRDefault="001802D1" w:rsidP="00692538">
      <w:pPr>
        <w:pStyle w:val="Numberedbody"/>
        <w:spacing w:before="240"/>
        <w:rPr>
          <w:lang w:val="en-US"/>
        </w:rPr>
      </w:pPr>
      <w:r w:rsidRPr="00692538">
        <w:rPr>
          <w:lang w:val="en-US"/>
        </w:rPr>
        <w:t>Where appropriate the Commission will respond to instances of fraud or bribery involving its staff in accordance with its disciplinary policy.</w:t>
      </w:r>
    </w:p>
    <w:p w14:paraId="29518F58" w14:textId="77777777" w:rsidR="00FD620C" w:rsidRPr="00692538" w:rsidRDefault="001802D1" w:rsidP="00692538">
      <w:pPr>
        <w:pStyle w:val="Numberedbody"/>
        <w:spacing w:before="240"/>
        <w:rPr>
          <w:lang w:val="en-US"/>
        </w:rPr>
      </w:pPr>
      <w:r w:rsidRPr="00692538">
        <w:rPr>
          <w:lang w:val="en-US"/>
        </w:rPr>
        <w:t xml:space="preserve">The Commission will take appropriate steps, including legal action if necessary, to recover any losses arising from or related to fraud or bribery. This may include action </w:t>
      </w:r>
      <w:r w:rsidRPr="00692538">
        <w:rPr>
          <w:lang w:val="en-US"/>
        </w:rPr>
        <w:lastRenderedPageBreak/>
        <w:t>against third parties involved in the bribery or whose negligent actions contributed to the bribery.</w:t>
      </w:r>
    </w:p>
    <w:p w14:paraId="38F4E176" w14:textId="00B97FC7" w:rsidR="00FD620C" w:rsidRPr="00692538" w:rsidRDefault="001802D1" w:rsidP="00692538">
      <w:pPr>
        <w:pStyle w:val="Numberedbody"/>
        <w:spacing w:before="240"/>
        <w:rPr>
          <w:lang w:val="en-US"/>
        </w:rPr>
      </w:pPr>
      <w:r w:rsidRPr="00692538">
        <w:rPr>
          <w:lang w:val="en-US"/>
        </w:rPr>
        <w:t xml:space="preserve">Where instances of fraud or bribery affecting the Commission are identified (including ‘near </w:t>
      </w:r>
      <w:proofErr w:type="spellStart"/>
      <w:r w:rsidRPr="00692538">
        <w:rPr>
          <w:lang w:val="en-US"/>
        </w:rPr>
        <w:t>miss’</w:t>
      </w:r>
      <w:proofErr w:type="spellEnd"/>
      <w:r w:rsidRPr="00692538">
        <w:rPr>
          <w:lang w:val="en-US"/>
        </w:rPr>
        <w:t xml:space="preserve"> instances) the </w:t>
      </w:r>
      <w:r w:rsidR="00FA7549">
        <w:rPr>
          <w:lang w:val="en-US"/>
        </w:rPr>
        <w:t xml:space="preserve">Finance </w:t>
      </w:r>
      <w:r w:rsidRPr="00692538">
        <w:rPr>
          <w:lang w:val="en-US"/>
        </w:rPr>
        <w:t>Director</w:t>
      </w:r>
      <w:r w:rsidR="003B3F66">
        <w:rPr>
          <w:lang w:val="en-US"/>
        </w:rPr>
        <w:t xml:space="preserve"> and General</w:t>
      </w:r>
      <w:r w:rsidRPr="00692538">
        <w:rPr>
          <w:lang w:val="en-US"/>
        </w:rPr>
        <w:t xml:space="preserve"> Counsel will undertake proportionate lessons learned exercises (supported by internal audit as </w:t>
      </w:r>
      <w:r w:rsidR="00EA3D6D" w:rsidRPr="00692538">
        <w:rPr>
          <w:lang w:val="en-US"/>
        </w:rPr>
        <w:t>appropriate</w:t>
      </w:r>
      <w:r w:rsidRPr="00692538">
        <w:rPr>
          <w:lang w:val="en-US"/>
        </w:rPr>
        <w:t xml:space="preserve">) to ensure controls are </w:t>
      </w:r>
      <w:r w:rsidR="00992E51" w:rsidRPr="00692538">
        <w:rPr>
          <w:lang w:val="en-US"/>
        </w:rPr>
        <w:t xml:space="preserve">appropriate.  </w:t>
      </w:r>
    </w:p>
    <w:p w14:paraId="257A3214" w14:textId="3BE53933" w:rsidR="005C24C7" w:rsidRDefault="001802D1" w:rsidP="00876BC0">
      <w:pPr>
        <w:pStyle w:val="B-head"/>
      </w:pPr>
      <w:bookmarkStart w:id="5" w:name="_Toc70352672"/>
      <w:r>
        <w:t>Administration</w:t>
      </w:r>
      <w:bookmarkEnd w:id="5"/>
    </w:p>
    <w:p w14:paraId="5BDFE44F" w14:textId="17E83DAD" w:rsidR="00CE07CC" w:rsidRDefault="001802D1" w:rsidP="00CE07CC">
      <w:pPr>
        <w:pStyle w:val="C-head"/>
      </w:pPr>
      <w:r>
        <w:t>Risk Management</w:t>
      </w:r>
    </w:p>
    <w:p w14:paraId="32E4B19D" w14:textId="44AB1A6E" w:rsidR="00692538" w:rsidRPr="005726B6" w:rsidRDefault="001802D1" w:rsidP="00B36E41">
      <w:pPr>
        <w:pStyle w:val="Numberedbody"/>
      </w:pPr>
      <w:r w:rsidRPr="005726B6">
        <w:t>Risks of fraud and bribery must be appropriately assessed by managers for their areas in line with this policy and included in risk registers where material.</w:t>
      </w:r>
      <w:r w:rsidR="00CC09E9" w:rsidRPr="005726B6">
        <w:t xml:space="preserve">  This should be reviewed in line with the Commission’s risk management policies</w:t>
      </w:r>
      <w:r w:rsidR="008F6C2E">
        <w:t xml:space="preserve">. </w:t>
      </w:r>
      <w:r w:rsidR="00E1670A" w:rsidRPr="00F03F73">
        <w:t>Consideration should be given to improving internal controls, and providing suitable training to staff.</w:t>
      </w:r>
    </w:p>
    <w:p w14:paraId="281AEB03" w14:textId="77777777" w:rsidR="00CE07CC" w:rsidRDefault="001802D1" w:rsidP="00CE07CC">
      <w:pPr>
        <w:pStyle w:val="C-head"/>
      </w:pPr>
      <w:r>
        <w:t>Related Policies</w:t>
      </w:r>
    </w:p>
    <w:p w14:paraId="2BB69FCB" w14:textId="6C7C0FA3" w:rsidR="00CE07CC" w:rsidRDefault="001802D1" w:rsidP="00692538">
      <w:pPr>
        <w:pStyle w:val="Numberedbody"/>
        <w:spacing w:before="240"/>
      </w:pPr>
      <w:r>
        <w:t xml:space="preserve">The Commission has a range of policies and procedures that deal with </w:t>
      </w:r>
      <w:r w:rsidR="00992E51">
        <w:t>behaviour</w:t>
      </w:r>
      <w:r>
        <w:t xml:space="preserve"> at work including:</w:t>
      </w:r>
    </w:p>
    <w:p w14:paraId="4C3107FC" w14:textId="77777777" w:rsidR="00992E51" w:rsidRDefault="001802D1" w:rsidP="00992E51">
      <w:pPr>
        <w:pStyle w:val="Bulletspaced"/>
      </w:pPr>
      <w:r>
        <w:t>Code of Conduct;</w:t>
      </w:r>
    </w:p>
    <w:p w14:paraId="181CF016" w14:textId="77777777" w:rsidR="00CE07CC" w:rsidRDefault="001802D1" w:rsidP="00CE07CC">
      <w:pPr>
        <w:pStyle w:val="Bulletspaced"/>
      </w:pPr>
      <w:r>
        <w:t>Whistleblowing Policy;</w:t>
      </w:r>
    </w:p>
    <w:p w14:paraId="2DEFC667" w14:textId="77777777" w:rsidR="00CE07CC" w:rsidRDefault="001802D1" w:rsidP="00CE07CC">
      <w:pPr>
        <w:pStyle w:val="Bulletspaced"/>
      </w:pPr>
      <w:r>
        <w:t xml:space="preserve">Grievance Policy; </w:t>
      </w:r>
    </w:p>
    <w:p w14:paraId="629B2439" w14:textId="77777777" w:rsidR="00CE07CC" w:rsidRDefault="001802D1" w:rsidP="00CE07CC">
      <w:pPr>
        <w:pStyle w:val="Bulletspaced"/>
      </w:pPr>
      <w:r>
        <w:t>Disciplinary Policy.</w:t>
      </w:r>
    </w:p>
    <w:p w14:paraId="74C9917F" w14:textId="77777777" w:rsidR="00CE07CC" w:rsidRDefault="001802D1" w:rsidP="00692538">
      <w:pPr>
        <w:pStyle w:val="Numberedbody"/>
        <w:spacing w:before="240"/>
      </w:pPr>
      <w:r>
        <w:t>This policy should be read in conjunction with the above policies and the relevant procedure followed where it is appropriate. If you are unsure which procedure may be appropriate HR will be able to advise.</w:t>
      </w:r>
    </w:p>
    <w:p w14:paraId="73DF9976" w14:textId="77777777" w:rsidR="00CE07CC" w:rsidRDefault="001802D1" w:rsidP="00CE07CC">
      <w:pPr>
        <w:pStyle w:val="C-head"/>
      </w:pPr>
      <w:r>
        <w:t>Equalities Impact Assessment</w:t>
      </w:r>
    </w:p>
    <w:p w14:paraId="640F4C76" w14:textId="66E09F98" w:rsidR="00CE07CC" w:rsidRDefault="001802D1" w:rsidP="000E7706">
      <w:pPr>
        <w:pStyle w:val="Numberedbody"/>
        <w:rPr>
          <w:lang w:val="en-US"/>
        </w:rPr>
      </w:pPr>
      <w:r w:rsidRPr="00DA6B9A">
        <w:rPr>
          <w:lang w:val="en-US"/>
        </w:rPr>
        <w:t>This policy is based on a statutory requirement to prevent fraud and or bribery corrupting anyone in public office. It applies to all staff and it is not considered to have any adverse impact on anyone with the protected characteristics or anyone protected under Section 75 in Northern Ireland.  As this is a statutory requirement for all public sector staff regardless of grade, area of work location, part time or full time etc</w:t>
      </w:r>
      <w:r w:rsidR="00CE0971">
        <w:rPr>
          <w:lang w:val="en-US"/>
        </w:rPr>
        <w:t>.</w:t>
      </w:r>
      <w:r w:rsidRPr="00DA6B9A">
        <w:rPr>
          <w:lang w:val="en-US"/>
        </w:rPr>
        <w:t xml:space="preserve">, it has to be upheld regardless of protected or other characteristic.  </w:t>
      </w:r>
    </w:p>
    <w:p w14:paraId="57D14669" w14:textId="77777777" w:rsidR="00DA6B9A" w:rsidRDefault="001802D1" w:rsidP="00DA6B9A">
      <w:pPr>
        <w:pStyle w:val="Numberedbody"/>
        <w:rPr>
          <w:lang w:val="en-US"/>
        </w:rPr>
      </w:pPr>
      <w:r w:rsidRPr="00DA6B9A">
        <w:rPr>
          <w:lang w:val="en-US"/>
        </w:rPr>
        <w:t xml:space="preserve">However, in all polices and statutory frameworks, managers should be mindful of any vexatious or malicious allegations and equally monitor if this is disproportionately brought against any particular groups of staff. </w:t>
      </w:r>
    </w:p>
    <w:p w14:paraId="32718C43" w14:textId="77777777" w:rsidR="00D64918" w:rsidRDefault="00D64918" w:rsidP="00CE07CC">
      <w:pPr>
        <w:pStyle w:val="C-head"/>
      </w:pPr>
    </w:p>
    <w:p w14:paraId="3758A914" w14:textId="77777777" w:rsidR="00D64918" w:rsidRDefault="00D64918" w:rsidP="00CE07CC">
      <w:pPr>
        <w:pStyle w:val="C-head"/>
      </w:pPr>
    </w:p>
    <w:p w14:paraId="39F529CD" w14:textId="491EA2CF" w:rsidR="00CE07CC" w:rsidRPr="00CE07CC" w:rsidRDefault="001802D1" w:rsidP="00CE07CC">
      <w:pPr>
        <w:pStyle w:val="C-head"/>
      </w:pPr>
      <w:r w:rsidRPr="00CE07CC">
        <w:lastRenderedPageBreak/>
        <w:t xml:space="preserve">Consultation </w:t>
      </w:r>
    </w:p>
    <w:p w14:paraId="0D517CA3" w14:textId="77777777" w:rsidR="00CE07CC" w:rsidRPr="00692538" w:rsidRDefault="001802D1" w:rsidP="00692538">
      <w:pPr>
        <w:pStyle w:val="Numberedbody"/>
        <w:spacing w:before="240"/>
        <w:rPr>
          <w:lang w:val="en-US"/>
        </w:rPr>
      </w:pPr>
      <w:r w:rsidRPr="00692538">
        <w:rPr>
          <w:lang w:val="en-US"/>
        </w:rPr>
        <w:t>Executive Team, Auditors.</w:t>
      </w:r>
    </w:p>
    <w:p w14:paraId="0A27208E" w14:textId="77777777" w:rsidR="00CE07CC" w:rsidRPr="00CE07CC" w:rsidRDefault="001802D1" w:rsidP="00CE07CC">
      <w:pPr>
        <w:pStyle w:val="C-head"/>
      </w:pPr>
      <w:r w:rsidRPr="00CE07CC">
        <w:t>Dissemination and communication plan</w:t>
      </w:r>
    </w:p>
    <w:p w14:paraId="31A0D9D9" w14:textId="77777777" w:rsidR="0043404F" w:rsidRDefault="001802D1" w:rsidP="00692538">
      <w:pPr>
        <w:pStyle w:val="Numberedbody"/>
        <w:spacing w:before="240"/>
        <w:rPr>
          <w:lang w:val="en-US"/>
        </w:rPr>
      </w:pPr>
      <w:r w:rsidRPr="00692538">
        <w:rPr>
          <w:lang w:val="en-US"/>
        </w:rPr>
        <w:t xml:space="preserve">Executive Team, Senior Leadership </w:t>
      </w:r>
      <w:r w:rsidR="00031A78">
        <w:rPr>
          <w:lang w:val="en-US"/>
        </w:rPr>
        <w:t>Team</w:t>
      </w:r>
      <w:r w:rsidRPr="00692538">
        <w:rPr>
          <w:lang w:val="en-US"/>
        </w:rPr>
        <w:t>, Legal Team, all EC staff, Auditors.</w:t>
      </w:r>
      <w:r w:rsidR="00CC09E9">
        <w:rPr>
          <w:lang w:val="en-US"/>
        </w:rPr>
        <w:t xml:space="preserve">  </w:t>
      </w:r>
    </w:p>
    <w:p w14:paraId="1A18A8ED" w14:textId="1A1768AB" w:rsidR="00CE07CC" w:rsidRPr="00E1670A" w:rsidRDefault="001802D1" w:rsidP="00692538">
      <w:pPr>
        <w:pStyle w:val="Numberedbody"/>
        <w:spacing w:before="240"/>
        <w:rPr>
          <w:lang w:val="en-US"/>
        </w:rPr>
      </w:pPr>
      <w:r w:rsidRPr="00E1670A">
        <w:rPr>
          <w:lang w:val="en-US"/>
        </w:rPr>
        <w:t xml:space="preserve">This policy should </w:t>
      </w:r>
      <w:r w:rsidR="00E1670A" w:rsidRPr="00E1670A">
        <w:rPr>
          <w:lang w:val="en-US"/>
        </w:rPr>
        <w:t xml:space="preserve">easily accessible to all staff </w:t>
      </w:r>
      <w:r w:rsidR="0043404F" w:rsidRPr="00E1670A">
        <w:rPr>
          <w:lang w:val="en-US"/>
        </w:rPr>
        <w:t>via the staff intranet</w:t>
      </w:r>
      <w:r w:rsidR="00FF665B" w:rsidRPr="00E1670A">
        <w:rPr>
          <w:lang w:val="en-US"/>
        </w:rPr>
        <w:t xml:space="preserve">, </w:t>
      </w:r>
      <w:r w:rsidR="00821FC6" w:rsidRPr="00E1670A">
        <w:rPr>
          <w:lang w:val="en-US"/>
        </w:rPr>
        <w:t>and be regularly communicated to raise awareness.</w:t>
      </w:r>
    </w:p>
    <w:p w14:paraId="322D6346" w14:textId="62BCE84F" w:rsidR="00CC09E9" w:rsidRPr="00881B79" w:rsidRDefault="001802D1" w:rsidP="00881B79">
      <w:pPr>
        <w:pStyle w:val="Numberedbody"/>
        <w:numPr>
          <w:ilvl w:val="0"/>
          <w:numId w:val="0"/>
        </w:numPr>
        <w:spacing w:before="240"/>
        <w:rPr>
          <w:b/>
          <w:bCs/>
          <w:lang w:val="en-US"/>
        </w:rPr>
      </w:pPr>
      <w:r>
        <w:rPr>
          <w:b/>
          <w:bCs/>
          <w:lang w:val="en-US"/>
        </w:rPr>
        <w:t>Review</w:t>
      </w:r>
    </w:p>
    <w:p w14:paraId="2E2A1449" w14:textId="360E3703" w:rsidR="00CC09E9" w:rsidRDefault="001802D1" w:rsidP="00692538">
      <w:pPr>
        <w:pStyle w:val="Numberedbody"/>
        <w:spacing w:before="240"/>
        <w:rPr>
          <w:lang w:val="en-US"/>
        </w:rPr>
      </w:pPr>
      <w:r>
        <w:rPr>
          <w:lang w:val="en-US"/>
        </w:rPr>
        <w:t>This policy should be reviewed every 2 years.  If there has been an incidence of fraud or bribery, a review should be undertaken to assess the effectiveness of this policy.</w:t>
      </w:r>
    </w:p>
    <w:p w14:paraId="3F154E8F" w14:textId="1D55BD95" w:rsidR="00CE07CC" w:rsidRPr="00CE07CC" w:rsidRDefault="001802D1" w:rsidP="00CE07CC">
      <w:pPr>
        <w:pStyle w:val="Body"/>
        <w:rPr>
          <w:b/>
        </w:rPr>
      </w:pPr>
      <w:r w:rsidRPr="00CE07CC">
        <w:rPr>
          <w:b/>
        </w:rPr>
        <w:t xml:space="preserve">Key </w:t>
      </w:r>
      <w:r w:rsidR="005D3E6F">
        <w:rPr>
          <w:b/>
        </w:rPr>
        <w:t>c</w:t>
      </w:r>
      <w:r w:rsidRPr="00CE07CC">
        <w:rPr>
          <w:b/>
        </w:rPr>
        <w:t>ontacts</w:t>
      </w:r>
    </w:p>
    <w:p w14:paraId="2F73A236" w14:textId="77777777" w:rsidR="00876BC0" w:rsidRPr="00692538" w:rsidRDefault="001802D1" w:rsidP="00692538">
      <w:pPr>
        <w:pStyle w:val="Numberedbody"/>
        <w:spacing w:before="240"/>
        <w:rPr>
          <w:lang w:val="en-US"/>
        </w:rPr>
      </w:pPr>
      <w:r w:rsidRPr="00692538">
        <w:rPr>
          <w:lang w:val="en-US"/>
        </w:rPr>
        <w:t>Commission’s General Counsel</w:t>
      </w:r>
      <w:r w:rsidR="00FD620C" w:rsidRPr="00692538">
        <w:rPr>
          <w:lang w:val="en-US"/>
        </w:rPr>
        <w:t xml:space="preserve"> (contact for specific cases)</w:t>
      </w:r>
    </w:p>
    <w:p w14:paraId="0222B86E" w14:textId="45FCEE18" w:rsidR="00876BC0" w:rsidRPr="00876BC0" w:rsidRDefault="001802D1" w:rsidP="00692538">
      <w:pPr>
        <w:pStyle w:val="Body"/>
        <w:ind w:left="567"/>
      </w:pPr>
      <w:r>
        <w:t>Binnie Goh (</w:t>
      </w:r>
      <w:hyperlink r:id="rId15" w:history="1">
        <w:r w:rsidRPr="00BF06B9">
          <w:rPr>
            <w:rStyle w:val="Hyperlink"/>
          </w:rPr>
          <w:t>BGoh@electoralcommission.org.uk</w:t>
        </w:r>
      </w:hyperlink>
      <w:r>
        <w:t xml:space="preserve"> Tel: 020 </w:t>
      </w:r>
      <w:r w:rsidRPr="0039515C">
        <w:t>7</w:t>
      </w:r>
      <w:r w:rsidR="00C828BD" w:rsidRPr="0039515C">
        <w:t>271 0508</w:t>
      </w:r>
      <w:r w:rsidRPr="0039515C">
        <w:t>)</w:t>
      </w:r>
    </w:p>
    <w:p w14:paraId="0909FA07" w14:textId="77777777" w:rsidR="00876BC0" w:rsidRPr="00692538" w:rsidRDefault="001802D1" w:rsidP="00692538">
      <w:pPr>
        <w:pStyle w:val="Numberedbody"/>
        <w:spacing w:before="240"/>
        <w:rPr>
          <w:lang w:val="en-US"/>
        </w:rPr>
      </w:pPr>
      <w:r w:rsidRPr="00692538">
        <w:rPr>
          <w:lang w:val="en-US"/>
        </w:rPr>
        <w:t>Commission’s Internal Auditors</w:t>
      </w:r>
    </w:p>
    <w:p w14:paraId="5EC99C82" w14:textId="01205527" w:rsidR="00876BC0" w:rsidRDefault="001802D1" w:rsidP="00692538">
      <w:pPr>
        <w:pStyle w:val="Body"/>
        <w:ind w:left="567"/>
      </w:pPr>
      <w:r>
        <w:t xml:space="preserve">RSM plc. </w:t>
      </w:r>
    </w:p>
    <w:p w14:paraId="506F7004" w14:textId="4A47850D" w:rsidR="007809F3" w:rsidRDefault="001802D1" w:rsidP="00692538">
      <w:pPr>
        <w:pStyle w:val="Body"/>
        <w:ind w:left="567"/>
      </w:pPr>
      <w:r>
        <w:t>Contact Mike Cheetham (</w:t>
      </w:r>
      <w:hyperlink r:id="rId16" w:history="1">
        <w:r w:rsidRPr="00EB3740">
          <w:rPr>
            <w:rStyle w:val="Hyperlink"/>
          </w:rPr>
          <w:t>Mike.Cheetham@rsmuk.com</w:t>
        </w:r>
      </w:hyperlink>
      <w:r>
        <w:t xml:space="preserve"> Tel: 0</w:t>
      </w:r>
      <w:r w:rsidRPr="007809F3">
        <w:t>7800 617204</w:t>
      </w:r>
    </w:p>
    <w:p w14:paraId="77862060" w14:textId="77777777" w:rsidR="00876BC0" w:rsidRPr="00692538" w:rsidRDefault="001802D1" w:rsidP="00692538">
      <w:pPr>
        <w:pStyle w:val="Numberedbody"/>
        <w:spacing w:before="240"/>
        <w:rPr>
          <w:lang w:val="en-US"/>
        </w:rPr>
      </w:pPr>
      <w:r w:rsidRPr="00692538">
        <w:rPr>
          <w:lang w:val="en-US"/>
        </w:rPr>
        <w:t xml:space="preserve">National Audit Office </w:t>
      </w:r>
    </w:p>
    <w:p w14:paraId="6F94E8C6" w14:textId="77777777" w:rsidR="00876BC0" w:rsidRDefault="001802D1" w:rsidP="00692538">
      <w:pPr>
        <w:pStyle w:val="Body"/>
        <w:ind w:left="567"/>
      </w:pPr>
      <w:r>
        <w:t>Whistle-blowing number (020 7798 7999)</w:t>
      </w:r>
    </w:p>
    <w:p w14:paraId="3EB2F555" w14:textId="29FF6239" w:rsidR="00FD620C" w:rsidRPr="00692538" w:rsidRDefault="001802D1" w:rsidP="00692538">
      <w:pPr>
        <w:pStyle w:val="Numberedbody"/>
        <w:spacing w:before="240"/>
        <w:rPr>
          <w:lang w:val="en-US"/>
        </w:rPr>
      </w:pPr>
      <w:r>
        <w:rPr>
          <w:lang w:val="en-US"/>
        </w:rPr>
        <w:t xml:space="preserve">Finance </w:t>
      </w:r>
      <w:r w:rsidRPr="00692538">
        <w:rPr>
          <w:lang w:val="en-US"/>
        </w:rPr>
        <w:t>Director (contact for information about this policy)</w:t>
      </w:r>
    </w:p>
    <w:p w14:paraId="727A8C07" w14:textId="6FDFF22E" w:rsidR="00FD620C" w:rsidRDefault="001802D1" w:rsidP="00692538">
      <w:pPr>
        <w:pStyle w:val="Body"/>
        <w:ind w:left="567"/>
      </w:pPr>
      <w:r>
        <w:t>David Moran (</w:t>
      </w:r>
      <w:hyperlink r:id="rId17" w:history="1">
        <w:r w:rsidRPr="008808EF">
          <w:rPr>
            <w:rStyle w:val="Hyperlink"/>
          </w:rPr>
          <w:t>dmoran@electoralcommission.org.uk</w:t>
        </w:r>
      </w:hyperlink>
      <w:r>
        <w:t xml:space="preserve"> </w:t>
      </w:r>
      <w:r w:rsidR="00692538">
        <w:t>Tel:</w:t>
      </w:r>
      <w:r w:rsidR="00360ECB">
        <w:t xml:space="preserve"> </w:t>
      </w:r>
      <w:r w:rsidR="00360ECB">
        <w:rPr>
          <w:rFonts w:cs="Arial"/>
          <w:color w:val="003057"/>
          <w:lang w:eastAsia="en-GB"/>
        </w:rPr>
        <w:t>0</w:t>
      </w:r>
      <w:r>
        <w:rPr>
          <w:rFonts w:cs="Arial"/>
          <w:color w:val="003057"/>
          <w:lang w:eastAsia="en-GB"/>
        </w:rPr>
        <w:t>7725</w:t>
      </w:r>
      <w:r w:rsidR="00D06E6D">
        <w:rPr>
          <w:rFonts w:cs="Arial"/>
          <w:color w:val="003057"/>
          <w:lang w:eastAsia="en-GB"/>
        </w:rPr>
        <w:t xml:space="preserve"> </w:t>
      </w:r>
      <w:r w:rsidR="00360ECB">
        <w:rPr>
          <w:rFonts w:cs="Arial"/>
          <w:color w:val="003057"/>
          <w:lang w:eastAsia="en-GB"/>
        </w:rPr>
        <w:t>20</w:t>
      </w:r>
      <w:r w:rsidR="00D06E6D">
        <w:rPr>
          <w:rFonts w:cs="Arial"/>
          <w:color w:val="003057"/>
          <w:lang w:eastAsia="en-GB"/>
        </w:rPr>
        <w:t>0001</w:t>
      </w:r>
      <w:r w:rsidR="00692538">
        <w:t>)</w:t>
      </w:r>
    </w:p>
    <w:p w14:paraId="0346D24F" w14:textId="275F9489" w:rsidR="00FD620C" w:rsidRDefault="001802D1" w:rsidP="00CE07CC">
      <w:pPr>
        <w:pStyle w:val="Body"/>
      </w:pPr>
      <w:r>
        <w:t xml:space="preserve">Signed </w:t>
      </w:r>
    </w:p>
    <w:p w14:paraId="4EFECA22" w14:textId="14D7FCAC" w:rsidR="00CE07CC" w:rsidRPr="00CE07CC" w:rsidRDefault="001802D1" w:rsidP="007D4B40">
      <w:pPr>
        <w:pStyle w:val="Body"/>
        <w:spacing w:before="0" w:after="0"/>
      </w:pPr>
      <w:r>
        <w:t>David Moran</w:t>
      </w:r>
    </w:p>
    <w:p w14:paraId="1F9D655B" w14:textId="76F7EB89" w:rsidR="00CE07CC" w:rsidRDefault="001802D1" w:rsidP="007D4B40">
      <w:pPr>
        <w:pStyle w:val="Body"/>
        <w:spacing w:before="0" w:after="0"/>
      </w:pPr>
      <w:r>
        <w:t xml:space="preserve">Finance </w:t>
      </w:r>
      <w:r w:rsidR="00FD620C">
        <w:t>Director</w:t>
      </w:r>
    </w:p>
    <w:p w14:paraId="744606DB" w14:textId="5108D088" w:rsidR="00FD620C" w:rsidRDefault="001802D1" w:rsidP="00CE07CC">
      <w:pPr>
        <w:pStyle w:val="Body"/>
      </w:pPr>
      <w:r>
        <w:t>0</w:t>
      </w:r>
      <w:r w:rsidR="007D4B40">
        <w:t>1/0</w:t>
      </w:r>
      <w:r>
        <w:t>6</w:t>
      </w:r>
      <w:r w:rsidR="007D4B40">
        <w:t>/2023</w:t>
      </w:r>
    </w:p>
    <w:p w14:paraId="2C43C439" w14:textId="77777777" w:rsidR="00BB65A3" w:rsidRDefault="00BB65A3" w:rsidP="007D4B40">
      <w:pPr>
        <w:pStyle w:val="Body"/>
        <w:spacing w:before="0" w:after="0"/>
      </w:pPr>
    </w:p>
    <w:p w14:paraId="04AF95A0" w14:textId="61B307EC" w:rsidR="008E28BF" w:rsidRDefault="001802D1" w:rsidP="007D4B40">
      <w:pPr>
        <w:pStyle w:val="Body"/>
        <w:spacing w:before="0" w:after="0"/>
      </w:pPr>
      <w:r w:rsidRPr="00BB65A3">
        <w:rPr>
          <w:i/>
          <w:iCs/>
        </w:rPr>
        <w:t>Binnie Goh</w:t>
      </w:r>
    </w:p>
    <w:p w14:paraId="611ED158" w14:textId="77777777" w:rsidR="008E28BF" w:rsidRDefault="008E28BF" w:rsidP="007D4B40">
      <w:pPr>
        <w:pStyle w:val="Body"/>
        <w:spacing w:before="0" w:after="0"/>
      </w:pPr>
    </w:p>
    <w:p w14:paraId="401DE380" w14:textId="5F0BC203" w:rsidR="00FD620C" w:rsidRDefault="001802D1" w:rsidP="007D4B40">
      <w:pPr>
        <w:pStyle w:val="Body"/>
        <w:spacing w:before="0" w:after="0"/>
      </w:pPr>
      <w:r>
        <w:t>Binnie Goh</w:t>
      </w:r>
    </w:p>
    <w:p w14:paraId="55AD7752" w14:textId="77777777" w:rsidR="00FD620C" w:rsidRDefault="001802D1" w:rsidP="007D4B40">
      <w:pPr>
        <w:pStyle w:val="Body"/>
        <w:spacing w:before="0" w:after="0"/>
      </w:pPr>
      <w:r>
        <w:t xml:space="preserve">General Counsel </w:t>
      </w:r>
    </w:p>
    <w:p w14:paraId="4F8B80E1" w14:textId="6C93F681" w:rsidR="00CE07CC" w:rsidRPr="00CE07CC" w:rsidRDefault="001802D1" w:rsidP="00CE07CC">
      <w:pPr>
        <w:pStyle w:val="Body"/>
      </w:pPr>
      <w:r>
        <w:t>13/06/23</w:t>
      </w:r>
    </w:p>
    <w:sectPr w:rsidR="00CE07CC" w:rsidRPr="00CE07CC" w:rsidSect="00481897">
      <w:pgSz w:w="11906" w:h="16838" w:code="9"/>
      <w:pgMar w:top="1928" w:right="714" w:bottom="714" w:left="1605" w:header="567"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DF7704E" w14:textId="77777777" w:rsidR="00B757AD" w:rsidRDefault="001802D1" w:rsidP="006275AD">
      <w:pPr>
        <w:spacing w:after="0" w:line="240" w:lineRule="auto"/>
      </w:pPr>
      <w:r>
        <w:separator/>
      </w:r>
    </w:p>
    <w:p w14:paraId="389C30E2" w14:textId="77777777" w:rsidR="00B757AD" w:rsidRDefault="00B757AD"/>
  </w:endnote>
  <w:endnote w:type="continuationSeparator" w:id="0">
    <w:p w14:paraId="7DE928C3" w14:textId="77777777" w:rsidR="00B757AD" w:rsidRDefault="001802D1" w:rsidP="006275AD">
      <w:pPr>
        <w:spacing w:after="0" w:line="240" w:lineRule="auto"/>
      </w:pPr>
      <w:r>
        <w:continuationSeparator/>
      </w:r>
    </w:p>
    <w:p w14:paraId="74CDAD55" w14:textId="77777777" w:rsidR="00B757AD" w:rsidRDefault="00B757AD"/>
  </w:endnote>
  <w:endnote w:type="continuationNotice" w:id="1">
    <w:p w14:paraId="66C47457" w14:textId="77777777" w:rsidR="00B757AD" w:rsidRDefault="00B757AD">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166EE0" w14:textId="27ED4E25" w:rsidR="005C24C7" w:rsidRDefault="001802D1">
    <w:pPr>
      <w:pStyle w:val="Footer"/>
    </w:pPr>
    <w:r>
      <w:t xml:space="preserve">Page </w:t>
    </w:r>
    <w:r>
      <w:fldChar w:fldCharType="begin"/>
    </w:r>
    <w:r>
      <w:instrText xml:space="preserve"> PAGE   \* MERGEFORMAT </w:instrText>
    </w:r>
    <w:r>
      <w:fldChar w:fldCharType="separate"/>
    </w:r>
    <w:r w:rsidR="00DA6B9A">
      <w:rPr>
        <w:noProof/>
      </w:rPr>
      <w:t>7</w:t>
    </w:r>
    <w:r>
      <w:fldChar w:fldCharType="end"/>
    </w:r>
    <w:r>
      <w:t xml:space="preserve"> of </w:t>
    </w:r>
    <w:r w:rsidR="00553215">
      <w:rPr>
        <w:noProof/>
      </w:rPr>
      <w:fldChar w:fldCharType="begin"/>
    </w:r>
    <w:r w:rsidR="00553215">
      <w:rPr>
        <w:noProof/>
      </w:rPr>
      <w:instrText xml:space="preserve"> NUMPAGES   \* MERGEFORMAT </w:instrText>
    </w:r>
    <w:r w:rsidR="00553215">
      <w:rPr>
        <w:noProof/>
      </w:rPr>
      <w:fldChar w:fldCharType="separate"/>
    </w:r>
    <w:r w:rsidR="00DA6B9A">
      <w:rPr>
        <w:noProof/>
      </w:rPr>
      <w:t>11</w:t>
    </w:r>
    <w:r w:rsidR="00553215">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C1E24DA" w14:textId="77777777" w:rsidR="00B757AD" w:rsidRDefault="001802D1" w:rsidP="006275AD">
      <w:pPr>
        <w:spacing w:after="0" w:line="240" w:lineRule="auto"/>
      </w:pPr>
      <w:r>
        <w:separator/>
      </w:r>
    </w:p>
    <w:p w14:paraId="3B78A972" w14:textId="77777777" w:rsidR="00B757AD" w:rsidRDefault="00B757AD"/>
  </w:footnote>
  <w:footnote w:type="continuationSeparator" w:id="0">
    <w:p w14:paraId="4173EFFF" w14:textId="77777777" w:rsidR="00B757AD" w:rsidRDefault="001802D1" w:rsidP="006275AD">
      <w:pPr>
        <w:spacing w:after="0" w:line="240" w:lineRule="auto"/>
      </w:pPr>
      <w:r>
        <w:continuationSeparator/>
      </w:r>
    </w:p>
    <w:p w14:paraId="17CADD2F" w14:textId="77777777" w:rsidR="00B757AD" w:rsidRDefault="00B757AD"/>
  </w:footnote>
  <w:footnote w:type="continuationNotice" w:id="1">
    <w:p w14:paraId="38FD7AD9" w14:textId="77777777" w:rsidR="00B757AD" w:rsidRDefault="00B757AD">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5C6F41" w14:textId="3AE8411E" w:rsidR="008624FF" w:rsidRPr="008624FF" w:rsidRDefault="001802D1" w:rsidP="008624FF">
    <w:pPr>
      <w:rPr>
        <w:color w:val="003057" w:themeColor="accent1"/>
      </w:rPr>
    </w:pPr>
    <w:r>
      <w:rPr>
        <w:noProof/>
        <w:lang w:eastAsia="en-GB"/>
      </w:rPr>
      <w:drawing>
        <wp:inline distT="0" distB="0" distL="0" distR="0" wp14:anchorId="75118AE8" wp14:editId="3D0AD793">
          <wp:extent cx="1663065" cy="870585"/>
          <wp:effectExtent l="0" t="0" r="0" b="5715"/>
          <wp:docPr id="1967830621" name="Picture 19678306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7830621"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663065" cy="870585"/>
                  </a:xfrm>
                  <a:prstGeom prst="rect">
                    <a:avLst/>
                  </a:prstGeom>
                  <a:noFill/>
                  <a:ln>
                    <a:noFill/>
                  </a:ln>
                </pic:spPr>
              </pic:pic>
            </a:graphicData>
          </a:graphic>
        </wp:inline>
      </w:drawing>
    </w:r>
    <w:r w:rsidRPr="008624FF">
      <w:rPr>
        <w:color w:val="003057" w:themeColor="accent1"/>
      </w:rPr>
      <w:tab/>
    </w:r>
    <w:r w:rsidRPr="008624FF">
      <w:rPr>
        <w:color w:val="003057" w:themeColor="accent1"/>
      </w:rPr>
      <w:tab/>
    </w:r>
  </w:p>
  <w:p w14:paraId="62B70E0E" w14:textId="77777777" w:rsidR="00481897" w:rsidRPr="0055245E" w:rsidRDefault="00481897" w:rsidP="0048189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F998D2C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4B92ACE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A26C861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C5DE6FF6"/>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3A1A785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39AFF14"/>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A2A10B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C9006F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FC0FDB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3126F7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DB67AE4"/>
    <w:multiLevelType w:val="multilevel"/>
    <w:tmpl w:val="6E54FB4A"/>
    <w:styleLink w:val="ECNumbered"/>
    <w:lvl w:ilvl="0">
      <w:start w:val="1"/>
      <w:numFmt w:val="decimal"/>
      <w:pStyle w:val="Numberedbody"/>
      <w:lvlText w:val="%1."/>
      <w:lvlJc w:val="left"/>
      <w:pPr>
        <w:tabs>
          <w:tab w:val="num" w:pos="709"/>
        </w:tabs>
        <w:ind w:left="709" w:hanging="567"/>
      </w:pPr>
      <w:rPr>
        <w:rFonts w:hint="default"/>
      </w:rPr>
    </w:lvl>
    <w:lvl w:ilvl="1">
      <w:start w:val="1"/>
      <w:numFmt w:val="lowerLetter"/>
      <w:lvlText w:val="%2."/>
      <w:lvlJc w:val="left"/>
      <w:pPr>
        <w:tabs>
          <w:tab w:val="num" w:pos="1134"/>
        </w:tabs>
        <w:ind w:left="1134" w:hanging="567"/>
      </w:pPr>
      <w:rPr>
        <w:rFonts w:hint="default"/>
      </w:rPr>
    </w:lvl>
    <w:lvl w:ilvl="2">
      <w:start w:val="1"/>
      <w:numFmt w:val="lowerRoman"/>
      <w:lvlText w:val="%3."/>
      <w:lvlJc w:val="right"/>
      <w:pPr>
        <w:tabs>
          <w:tab w:val="num" w:pos="1701"/>
        </w:tabs>
        <w:ind w:left="1701" w:hanging="567"/>
      </w:pPr>
      <w:rPr>
        <w:rFonts w:hint="default"/>
      </w:rPr>
    </w:lvl>
    <w:lvl w:ilvl="3">
      <w:start w:val="1"/>
      <w:numFmt w:val="none"/>
      <w:lvlText w:val=""/>
      <w:lvlJc w:val="left"/>
      <w:pPr>
        <w:tabs>
          <w:tab w:val="num" w:pos="2268"/>
        </w:tabs>
        <w:ind w:left="2268" w:hanging="567"/>
      </w:pPr>
      <w:rPr>
        <w:rFonts w:hint="default"/>
      </w:rPr>
    </w:lvl>
    <w:lvl w:ilvl="4">
      <w:start w:val="1"/>
      <w:numFmt w:val="none"/>
      <w:lvlText w:val=""/>
      <w:lvlJc w:val="left"/>
      <w:pPr>
        <w:tabs>
          <w:tab w:val="num" w:pos="2835"/>
        </w:tabs>
        <w:ind w:left="2835" w:hanging="567"/>
      </w:pPr>
      <w:rPr>
        <w:rFonts w:hint="default"/>
      </w:rPr>
    </w:lvl>
    <w:lvl w:ilvl="5">
      <w:start w:val="1"/>
      <w:numFmt w:val="none"/>
      <w:lvlText w:val=""/>
      <w:lvlJc w:val="right"/>
      <w:pPr>
        <w:tabs>
          <w:tab w:val="num" w:pos="3402"/>
        </w:tabs>
        <w:ind w:left="3402" w:hanging="567"/>
      </w:pPr>
      <w:rPr>
        <w:rFonts w:hint="default"/>
      </w:rPr>
    </w:lvl>
    <w:lvl w:ilvl="6">
      <w:start w:val="1"/>
      <w:numFmt w:val="none"/>
      <w:lvlText w:val=""/>
      <w:lvlJc w:val="left"/>
      <w:pPr>
        <w:tabs>
          <w:tab w:val="num" w:pos="3969"/>
        </w:tabs>
        <w:ind w:left="3969" w:hanging="567"/>
      </w:pPr>
      <w:rPr>
        <w:rFonts w:hint="default"/>
      </w:rPr>
    </w:lvl>
    <w:lvl w:ilvl="7">
      <w:start w:val="1"/>
      <w:numFmt w:val="none"/>
      <w:lvlText w:val=""/>
      <w:lvlJc w:val="left"/>
      <w:pPr>
        <w:tabs>
          <w:tab w:val="num" w:pos="4536"/>
        </w:tabs>
        <w:ind w:left="4536" w:hanging="567"/>
      </w:pPr>
      <w:rPr>
        <w:rFonts w:hint="default"/>
      </w:rPr>
    </w:lvl>
    <w:lvl w:ilvl="8">
      <w:start w:val="1"/>
      <w:numFmt w:val="none"/>
      <w:lvlText w:val=""/>
      <w:lvlJc w:val="right"/>
      <w:pPr>
        <w:tabs>
          <w:tab w:val="num" w:pos="5103"/>
        </w:tabs>
        <w:ind w:left="5103" w:hanging="567"/>
      </w:pPr>
      <w:rPr>
        <w:rFonts w:hint="default"/>
      </w:rPr>
    </w:lvl>
  </w:abstractNum>
  <w:abstractNum w:abstractNumId="11" w15:restartNumberingAfterBreak="0">
    <w:nsid w:val="20F64249"/>
    <w:multiLevelType w:val="multilevel"/>
    <w:tmpl w:val="B45C9D8A"/>
    <w:numStyleLink w:val="ECAppendix"/>
  </w:abstractNum>
  <w:abstractNum w:abstractNumId="12" w15:restartNumberingAfterBreak="0">
    <w:nsid w:val="2CF918E2"/>
    <w:multiLevelType w:val="hybridMultilevel"/>
    <w:tmpl w:val="5E321358"/>
    <w:lvl w:ilvl="0" w:tplc="873EF34C">
      <w:start w:val="1"/>
      <w:numFmt w:val="bullet"/>
      <w:pStyle w:val="Boxspacedbullet"/>
      <w:lvlText w:val=""/>
      <w:lvlJc w:val="left"/>
      <w:pPr>
        <w:tabs>
          <w:tab w:val="num" w:pos="567"/>
        </w:tabs>
        <w:ind w:left="567" w:hanging="567"/>
      </w:pPr>
      <w:rPr>
        <w:rFonts w:ascii="Symbol" w:hAnsi="Symbol" w:hint="default"/>
      </w:rPr>
    </w:lvl>
    <w:lvl w:ilvl="1" w:tplc="4B8E0984">
      <w:start w:val="1"/>
      <w:numFmt w:val="bullet"/>
      <w:lvlText w:val="o"/>
      <w:lvlJc w:val="left"/>
      <w:pPr>
        <w:tabs>
          <w:tab w:val="num" w:pos="1134"/>
        </w:tabs>
        <w:ind w:left="1134" w:hanging="567"/>
      </w:pPr>
      <w:rPr>
        <w:rFonts w:ascii="Courier New" w:hAnsi="Courier New" w:hint="default"/>
      </w:rPr>
    </w:lvl>
    <w:lvl w:ilvl="2" w:tplc="6D106CE8" w:tentative="1">
      <w:start w:val="1"/>
      <w:numFmt w:val="bullet"/>
      <w:lvlText w:val=""/>
      <w:lvlJc w:val="left"/>
      <w:pPr>
        <w:ind w:left="2300" w:hanging="360"/>
      </w:pPr>
      <w:rPr>
        <w:rFonts w:ascii="Wingdings" w:hAnsi="Wingdings" w:hint="default"/>
      </w:rPr>
    </w:lvl>
    <w:lvl w:ilvl="3" w:tplc="73DC5690" w:tentative="1">
      <w:start w:val="1"/>
      <w:numFmt w:val="bullet"/>
      <w:lvlText w:val=""/>
      <w:lvlJc w:val="left"/>
      <w:pPr>
        <w:ind w:left="3020" w:hanging="360"/>
      </w:pPr>
      <w:rPr>
        <w:rFonts w:ascii="Symbol" w:hAnsi="Symbol" w:hint="default"/>
      </w:rPr>
    </w:lvl>
    <w:lvl w:ilvl="4" w:tplc="29E6D0A4" w:tentative="1">
      <w:start w:val="1"/>
      <w:numFmt w:val="bullet"/>
      <w:lvlText w:val="o"/>
      <w:lvlJc w:val="left"/>
      <w:pPr>
        <w:ind w:left="3740" w:hanging="360"/>
      </w:pPr>
      <w:rPr>
        <w:rFonts w:ascii="Courier New" w:hAnsi="Courier New" w:cs="Courier New" w:hint="default"/>
      </w:rPr>
    </w:lvl>
    <w:lvl w:ilvl="5" w:tplc="B7D86B74" w:tentative="1">
      <w:start w:val="1"/>
      <w:numFmt w:val="bullet"/>
      <w:lvlText w:val=""/>
      <w:lvlJc w:val="left"/>
      <w:pPr>
        <w:ind w:left="4460" w:hanging="360"/>
      </w:pPr>
      <w:rPr>
        <w:rFonts w:ascii="Wingdings" w:hAnsi="Wingdings" w:hint="default"/>
      </w:rPr>
    </w:lvl>
    <w:lvl w:ilvl="6" w:tplc="9D8C78E2" w:tentative="1">
      <w:start w:val="1"/>
      <w:numFmt w:val="bullet"/>
      <w:lvlText w:val=""/>
      <w:lvlJc w:val="left"/>
      <w:pPr>
        <w:ind w:left="5180" w:hanging="360"/>
      </w:pPr>
      <w:rPr>
        <w:rFonts w:ascii="Symbol" w:hAnsi="Symbol" w:hint="default"/>
      </w:rPr>
    </w:lvl>
    <w:lvl w:ilvl="7" w:tplc="E710F032" w:tentative="1">
      <w:start w:val="1"/>
      <w:numFmt w:val="bullet"/>
      <w:lvlText w:val="o"/>
      <w:lvlJc w:val="left"/>
      <w:pPr>
        <w:ind w:left="5900" w:hanging="360"/>
      </w:pPr>
      <w:rPr>
        <w:rFonts w:ascii="Courier New" w:hAnsi="Courier New" w:cs="Courier New" w:hint="default"/>
      </w:rPr>
    </w:lvl>
    <w:lvl w:ilvl="8" w:tplc="5518DAF0" w:tentative="1">
      <w:start w:val="1"/>
      <w:numFmt w:val="bullet"/>
      <w:lvlText w:val=""/>
      <w:lvlJc w:val="left"/>
      <w:pPr>
        <w:ind w:left="6620" w:hanging="360"/>
      </w:pPr>
      <w:rPr>
        <w:rFonts w:ascii="Wingdings" w:hAnsi="Wingdings" w:hint="default"/>
      </w:rPr>
    </w:lvl>
  </w:abstractNum>
  <w:abstractNum w:abstractNumId="13" w15:restartNumberingAfterBreak="0">
    <w:nsid w:val="2FAD4F41"/>
    <w:multiLevelType w:val="hybridMultilevel"/>
    <w:tmpl w:val="5C127556"/>
    <w:lvl w:ilvl="0" w:tplc="66CC2876">
      <w:start w:val="1"/>
      <w:numFmt w:val="bullet"/>
      <w:lvlText w:val=""/>
      <w:lvlJc w:val="left"/>
      <w:pPr>
        <w:ind w:left="720" w:hanging="360"/>
      </w:pPr>
      <w:rPr>
        <w:rFonts w:ascii="Symbol" w:hAnsi="Symbol" w:hint="default"/>
      </w:rPr>
    </w:lvl>
    <w:lvl w:ilvl="1" w:tplc="9820A24E" w:tentative="1">
      <w:start w:val="1"/>
      <w:numFmt w:val="bullet"/>
      <w:lvlText w:val="o"/>
      <w:lvlJc w:val="left"/>
      <w:pPr>
        <w:ind w:left="1440" w:hanging="360"/>
      </w:pPr>
      <w:rPr>
        <w:rFonts w:ascii="Courier New" w:hAnsi="Courier New" w:cs="Courier New" w:hint="default"/>
      </w:rPr>
    </w:lvl>
    <w:lvl w:ilvl="2" w:tplc="3286A494" w:tentative="1">
      <w:start w:val="1"/>
      <w:numFmt w:val="bullet"/>
      <w:lvlText w:val=""/>
      <w:lvlJc w:val="left"/>
      <w:pPr>
        <w:ind w:left="2160" w:hanging="360"/>
      </w:pPr>
      <w:rPr>
        <w:rFonts w:ascii="Wingdings" w:hAnsi="Wingdings" w:hint="default"/>
      </w:rPr>
    </w:lvl>
    <w:lvl w:ilvl="3" w:tplc="5428D71E" w:tentative="1">
      <w:start w:val="1"/>
      <w:numFmt w:val="bullet"/>
      <w:lvlText w:val=""/>
      <w:lvlJc w:val="left"/>
      <w:pPr>
        <w:ind w:left="2880" w:hanging="360"/>
      </w:pPr>
      <w:rPr>
        <w:rFonts w:ascii="Symbol" w:hAnsi="Symbol" w:hint="default"/>
      </w:rPr>
    </w:lvl>
    <w:lvl w:ilvl="4" w:tplc="12B29554" w:tentative="1">
      <w:start w:val="1"/>
      <w:numFmt w:val="bullet"/>
      <w:lvlText w:val="o"/>
      <w:lvlJc w:val="left"/>
      <w:pPr>
        <w:ind w:left="3600" w:hanging="360"/>
      </w:pPr>
      <w:rPr>
        <w:rFonts w:ascii="Courier New" w:hAnsi="Courier New" w:cs="Courier New" w:hint="default"/>
      </w:rPr>
    </w:lvl>
    <w:lvl w:ilvl="5" w:tplc="27683F64" w:tentative="1">
      <w:start w:val="1"/>
      <w:numFmt w:val="bullet"/>
      <w:lvlText w:val=""/>
      <w:lvlJc w:val="left"/>
      <w:pPr>
        <w:ind w:left="4320" w:hanging="360"/>
      </w:pPr>
      <w:rPr>
        <w:rFonts w:ascii="Wingdings" w:hAnsi="Wingdings" w:hint="default"/>
      </w:rPr>
    </w:lvl>
    <w:lvl w:ilvl="6" w:tplc="359ABEF2" w:tentative="1">
      <w:start w:val="1"/>
      <w:numFmt w:val="bullet"/>
      <w:lvlText w:val=""/>
      <w:lvlJc w:val="left"/>
      <w:pPr>
        <w:ind w:left="5040" w:hanging="360"/>
      </w:pPr>
      <w:rPr>
        <w:rFonts w:ascii="Symbol" w:hAnsi="Symbol" w:hint="default"/>
      </w:rPr>
    </w:lvl>
    <w:lvl w:ilvl="7" w:tplc="D9E499FA" w:tentative="1">
      <w:start w:val="1"/>
      <w:numFmt w:val="bullet"/>
      <w:lvlText w:val="o"/>
      <w:lvlJc w:val="left"/>
      <w:pPr>
        <w:ind w:left="5760" w:hanging="360"/>
      </w:pPr>
      <w:rPr>
        <w:rFonts w:ascii="Courier New" w:hAnsi="Courier New" w:cs="Courier New" w:hint="default"/>
      </w:rPr>
    </w:lvl>
    <w:lvl w:ilvl="8" w:tplc="72CC656C" w:tentative="1">
      <w:start w:val="1"/>
      <w:numFmt w:val="bullet"/>
      <w:lvlText w:val=""/>
      <w:lvlJc w:val="left"/>
      <w:pPr>
        <w:ind w:left="6480" w:hanging="360"/>
      </w:pPr>
      <w:rPr>
        <w:rFonts w:ascii="Wingdings" w:hAnsi="Wingdings" w:hint="default"/>
      </w:rPr>
    </w:lvl>
  </w:abstractNum>
  <w:abstractNum w:abstractNumId="14" w15:restartNumberingAfterBreak="0">
    <w:nsid w:val="45E76639"/>
    <w:multiLevelType w:val="hybridMultilevel"/>
    <w:tmpl w:val="DD14D4AC"/>
    <w:lvl w:ilvl="0" w:tplc="C6BA6690">
      <w:start w:val="37"/>
      <w:numFmt w:val="decimal"/>
      <w:lvlText w:val="%1"/>
      <w:lvlJc w:val="left"/>
      <w:pPr>
        <w:ind w:left="720" w:hanging="360"/>
      </w:pPr>
      <w:rPr>
        <w:rFonts w:hint="default"/>
      </w:rPr>
    </w:lvl>
    <w:lvl w:ilvl="1" w:tplc="41D4F588" w:tentative="1">
      <w:start w:val="1"/>
      <w:numFmt w:val="lowerLetter"/>
      <w:lvlText w:val="%2."/>
      <w:lvlJc w:val="left"/>
      <w:pPr>
        <w:ind w:left="1440" w:hanging="360"/>
      </w:pPr>
    </w:lvl>
    <w:lvl w:ilvl="2" w:tplc="046ACC9E" w:tentative="1">
      <w:start w:val="1"/>
      <w:numFmt w:val="lowerRoman"/>
      <w:lvlText w:val="%3."/>
      <w:lvlJc w:val="right"/>
      <w:pPr>
        <w:ind w:left="2160" w:hanging="180"/>
      </w:pPr>
    </w:lvl>
    <w:lvl w:ilvl="3" w:tplc="5D8C19FE" w:tentative="1">
      <w:start w:val="1"/>
      <w:numFmt w:val="decimal"/>
      <w:lvlText w:val="%4."/>
      <w:lvlJc w:val="left"/>
      <w:pPr>
        <w:ind w:left="2880" w:hanging="360"/>
      </w:pPr>
    </w:lvl>
    <w:lvl w:ilvl="4" w:tplc="ADE01778" w:tentative="1">
      <w:start w:val="1"/>
      <w:numFmt w:val="lowerLetter"/>
      <w:lvlText w:val="%5."/>
      <w:lvlJc w:val="left"/>
      <w:pPr>
        <w:ind w:left="3600" w:hanging="360"/>
      </w:pPr>
    </w:lvl>
    <w:lvl w:ilvl="5" w:tplc="D3B0B094" w:tentative="1">
      <w:start w:val="1"/>
      <w:numFmt w:val="lowerRoman"/>
      <w:lvlText w:val="%6."/>
      <w:lvlJc w:val="right"/>
      <w:pPr>
        <w:ind w:left="4320" w:hanging="180"/>
      </w:pPr>
    </w:lvl>
    <w:lvl w:ilvl="6" w:tplc="ABA6705A" w:tentative="1">
      <w:start w:val="1"/>
      <w:numFmt w:val="decimal"/>
      <w:lvlText w:val="%7."/>
      <w:lvlJc w:val="left"/>
      <w:pPr>
        <w:ind w:left="5040" w:hanging="360"/>
      </w:pPr>
    </w:lvl>
    <w:lvl w:ilvl="7" w:tplc="AFC6B7E2" w:tentative="1">
      <w:start w:val="1"/>
      <w:numFmt w:val="lowerLetter"/>
      <w:lvlText w:val="%8."/>
      <w:lvlJc w:val="left"/>
      <w:pPr>
        <w:ind w:left="5760" w:hanging="360"/>
      </w:pPr>
    </w:lvl>
    <w:lvl w:ilvl="8" w:tplc="0C06B890" w:tentative="1">
      <w:start w:val="1"/>
      <w:numFmt w:val="lowerRoman"/>
      <w:lvlText w:val="%9."/>
      <w:lvlJc w:val="right"/>
      <w:pPr>
        <w:ind w:left="6480" w:hanging="180"/>
      </w:pPr>
    </w:lvl>
  </w:abstractNum>
  <w:abstractNum w:abstractNumId="15" w15:restartNumberingAfterBreak="0">
    <w:nsid w:val="46F5664A"/>
    <w:multiLevelType w:val="multilevel"/>
    <w:tmpl w:val="892862A0"/>
    <w:styleLink w:val="ECList"/>
    <w:lvl w:ilvl="0">
      <w:start w:val="1"/>
      <w:numFmt w:val="decimal"/>
      <w:pStyle w:val="Chapterheadnumber"/>
      <w:lvlText w:val="%1"/>
      <w:lvlJc w:val="left"/>
      <w:pPr>
        <w:tabs>
          <w:tab w:val="num" w:pos="907"/>
        </w:tabs>
        <w:ind w:left="0" w:firstLine="0"/>
      </w:pPr>
      <w:rPr>
        <w:rFonts w:hint="default"/>
      </w:rPr>
    </w:lvl>
    <w:lvl w:ilvl="1">
      <w:start w:val="1"/>
      <w:numFmt w:val="decimal"/>
      <w:pStyle w:val="Paranumber"/>
      <w:lvlText w:val="%1.%2"/>
      <w:lvlJc w:val="left"/>
      <w:pPr>
        <w:tabs>
          <w:tab w:val="num" w:pos="567"/>
        </w:tabs>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6" w15:restartNumberingAfterBreak="0">
    <w:nsid w:val="5B563D1E"/>
    <w:multiLevelType w:val="multilevel"/>
    <w:tmpl w:val="B45C9D8A"/>
    <w:styleLink w:val="ECAppendix"/>
    <w:lvl w:ilvl="0">
      <w:start w:val="1"/>
      <w:numFmt w:val="upperLetter"/>
      <w:pStyle w:val="Appendixheadnumber"/>
      <w:lvlText w:val="Appendix %1:"/>
      <w:lvlJc w:val="left"/>
      <w:pPr>
        <w:tabs>
          <w:tab w:val="num" w:pos="907"/>
        </w:tabs>
        <w:ind w:left="0" w:firstLine="0"/>
      </w:pPr>
      <w:rPr>
        <w:rFonts w:hint="default"/>
      </w:rPr>
    </w:lvl>
    <w:lvl w:ilvl="1">
      <w:start w:val="1"/>
      <w:numFmt w:val="decimal"/>
      <w:pStyle w:val="Appendixparanumber"/>
      <w:lvlText w:val="%1.%2"/>
      <w:lvlJc w:val="left"/>
      <w:pPr>
        <w:tabs>
          <w:tab w:val="num" w:pos="567"/>
        </w:tabs>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7" w15:restartNumberingAfterBreak="0">
    <w:nsid w:val="5E997125"/>
    <w:multiLevelType w:val="multilevel"/>
    <w:tmpl w:val="801C4886"/>
    <w:styleLink w:val="ECBullets"/>
    <w:lvl w:ilvl="0">
      <w:start w:val="1"/>
      <w:numFmt w:val="bullet"/>
      <w:pStyle w:val="Bulletspaced"/>
      <w:lvlText w:val=""/>
      <w:lvlJc w:val="left"/>
      <w:pPr>
        <w:tabs>
          <w:tab w:val="num" w:pos="567"/>
        </w:tabs>
        <w:ind w:left="567" w:hanging="567"/>
      </w:pPr>
      <w:rPr>
        <w:rFonts w:ascii="Symbol" w:hAnsi="Symbol" w:hint="default"/>
      </w:rPr>
    </w:lvl>
    <w:lvl w:ilvl="1">
      <w:start w:val="1"/>
      <w:numFmt w:val="bullet"/>
      <w:lvlText w:val="o"/>
      <w:lvlJc w:val="left"/>
      <w:pPr>
        <w:tabs>
          <w:tab w:val="num" w:pos="1134"/>
        </w:tabs>
        <w:ind w:left="1134" w:hanging="567"/>
      </w:pPr>
      <w:rPr>
        <w:rFonts w:ascii="Courier New" w:hAnsi="Courier New" w:hint="default"/>
      </w:rPr>
    </w:lvl>
    <w:lvl w:ilvl="2">
      <w:start w:val="1"/>
      <w:numFmt w:val="bullet"/>
      <w:lvlText w:val=""/>
      <w:lvlJc w:val="left"/>
      <w:pPr>
        <w:tabs>
          <w:tab w:val="num" w:pos="1701"/>
        </w:tabs>
        <w:ind w:left="1701" w:hanging="567"/>
      </w:pPr>
      <w:rPr>
        <w:rFonts w:ascii="Wingdings" w:hAnsi="Wingdings" w:hint="default"/>
      </w:rPr>
    </w:lvl>
    <w:lvl w:ilvl="3">
      <w:start w:val="1"/>
      <w:numFmt w:val="bullet"/>
      <w:lvlText w:val=""/>
      <w:lvlJc w:val="left"/>
      <w:pPr>
        <w:tabs>
          <w:tab w:val="num" w:pos="2268"/>
        </w:tabs>
        <w:ind w:left="2268" w:hanging="567"/>
      </w:pPr>
      <w:rPr>
        <w:rFonts w:ascii="Symbol" w:hAnsi="Symbol" w:hint="default"/>
      </w:rPr>
    </w:lvl>
    <w:lvl w:ilvl="4">
      <w:start w:val="1"/>
      <w:numFmt w:val="bullet"/>
      <w:lvlText w:val="o"/>
      <w:lvlJc w:val="left"/>
      <w:pPr>
        <w:tabs>
          <w:tab w:val="num" w:pos="2835"/>
        </w:tabs>
        <w:ind w:left="2835" w:hanging="567"/>
      </w:pPr>
      <w:rPr>
        <w:rFonts w:ascii="Courier New" w:hAnsi="Courier New" w:cs="Courier New" w:hint="default"/>
      </w:rPr>
    </w:lvl>
    <w:lvl w:ilvl="5">
      <w:start w:val="1"/>
      <w:numFmt w:val="bullet"/>
      <w:lvlText w:val=""/>
      <w:lvlJc w:val="left"/>
      <w:pPr>
        <w:tabs>
          <w:tab w:val="num" w:pos="3402"/>
        </w:tabs>
        <w:ind w:left="3402" w:hanging="567"/>
      </w:pPr>
      <w:rPr>
        <w:rFonts w:ascii="Wingdings" w:hAnsi="Wingdings" w:hint="default"/>
      </w:rPr>
    </w:lvl>
    <w:lvl w:ilvl="6">
      <w:start w:val="1"/>
      <w:numFmt w:val="bullet"/>
      <w:lvlText w:val=""/>
      <w:lvlJc w:val="left"/>
      <w:pPr>
        <w:tabs>
          <w:tab w:val="num" w:pos="3969"/>
        </w:tabs>
        <w:ind w:left="3969" w:hanging="567"/>
      </w:pPr>
      <w:rPr>
        <w:rFonts w:ascii="Symbol" w:hAnsi="Symbol" w:hint="default"/>
      </w:rPr>
    </w:lvl>
    <w:lvl w:ilvl="7">
      <w:start w:val="1"/>
      <w:numFmt w:val="bullet"/>
      <w:lvlText w:val="o"/>
      <w:lvlJc w:val="left"/>
      <w:pPr>
        <w:tabs>
          <w:tab w:val="num" w:pos="4536"/>
        </w:tabs>
        <w:ind w:left="4536" w:hanging="567"/>
      </w:pPr>
      <w:rPr>
        <w:rFonts w:ascii="Courier New" w:hAnsi="Courier New" w:cs="Courier New" w:hint="default"/>
      </w:rPr>
    </w:lvl>
    <w:lvl w:ilvl="8">
      <w:start w:val="1"/>
      <w:numFmt w:val="bullet"/>
      <w:lvlText w:val=""/>
      <w:lvlJc w:val="left"/>
      <w:pPr>
        <w:tabs>
          <w:tab w:val="num" w:pos="5103"/>
        </w:tabs>
        <w:ind w:left="5103" w:hanging="567"/>
      </w:pPr>
      <w:rPr>
        <w:rFonts w:ascii="Wingdings" w:hAnsi="Wingdings" w:hint="default"/>
      </w:rPr>
    </w:lvl>
  </w:abstractNum>
  <w:abstractNum w:abstractNumId="18" w15:restartNumberingAfterBreak="0">
    <w:nsid w:val="71D54FDE"/>
    <w:multiLevelType w:val="multilevel"/>
    <w:tmpl w:val="892862A0"/>
    <w:numStyleLink w:val="ECList"/>
  </w:abstractNum>
  <w:num w:numId="1" w16cid:durableId="1435125893">
    <w:abstractNumId w:val="15"/>
  </w:num>
  <w:num w:numId="2" w16cid:durableId="737749014">
    <w:abstractNumId w:val="18"/>
  </w:num>
  <w:num w:numId="3" w16cid:durableId="1622497620">
    <w:abstractNumId w:val="16"/>
  </w:num>
  <w:num w:numId="4" w16cid:durableId="1837649282">
    <w:abstractNumId w:val="11"/>
    <w:lvlOverride w:ilvl="0">
      <w:lvl w:ilvl="0">
        <w:start w:val="1"/>
        <w:numFmt w:val="upperLetter"/>
        <w:pStyle w:val="Appendixheadnumber"/>
        <w:lvlText w:val="Appendix %1:"/>
        <w:lvlJc w:val="left"/>
        <w:pPr>
          <w:tabs>
            <w:tab w:val="num" w:pos="907"/>
          </w:tabs>
          <w:ind w:left="0" w:firstLine="0"/>
        </w:pPr>
        <w:rPr>
          <w:rFonts w:hint="default"/>
        </w:rPr>
      </w:lvl>
    </w:lvlOverride>
    <w:lvlOverride w:ilvl="1">
      <w:lvl w:ilvl="1">
        <w:start w:val="1"/>
        <w:numFmt w:val="decimal"/>
        <w:pStyle w:val="Appendixparanumber"/>
        <w:lvlText w:val="%1.%2"/>
        <w:lvlJc w:val="left"/>
        <w:pPr>
          <w:tabs>
            <w:tab w:val="num" w:pos="567"/>
          </w:tabs>
          <w:ind w:left="0" w:firstLine="0"/>
        </w:pPr>
        <w:rPr>
          <w:rFonts w:hint="default"/>
        </w:rPr>
      </w:lvl>
    </w:lvlOverride>
  </w:num>
  <w:num w:numId="5" w16cid:durableId="1486043394">
    <w:abstractNumId w:val="12"/>
  </w:num>
  <w:num w:numId="6" w16cid:durableId="927926297">
    <w:abstractNumId w:val="17"/>
  </w:num>
  <w:num w:numId="7" w16cid:durableId="1600021077">
    <w:abstractNumId w:val="10"/>
  </w:num>
  <w:num w:numId="8" w16cid:durableId="655959394">
    <w:abstractNumId w:val="9"/>
  </w:num>
  <w:num w:numId="9" w16cid:durableId="2084064080">
    <w:abstractNumId w:val="7"/>
  </w:num>
  <w:num w:numId="10" w16cid:durableId="1874463258">
    <w:abstractNumId w:val="6"/>
  </w:num>
  <w:num w:numId="11" w16cid:durableId="979307218">
    <w:abstractNumId w:val="5"/>
  </w:num>
  <w:num w:numId="12" w16cid:durableId="1125847632">
    <w:abstractNumId w:val="4"/>
  </w:num>
  <w:num w:numId="13" w16cid:durableId="710690037">
    <w:abstractNumId w:val="8"/>
  </w:num>
  <w:num w:numId="14" w16cid:durableId="987977271">
    <w:abstractNumId w:val="3"/>
  </w:num>
  <w:num w:numId="15" w16cid:durableId="1616867483">
    <w:abstractNumId w:val="2"/>
  </w:num>
  <w:num w:numId="16" w16cid:durableId="662784354">
    <w:abstractNumId w:val="1"/>
  </w:num>
  <w:num w:numId="17" w16cid:durableId="1998605610">
    <w:abstractNumId w:val="0"/>
  </w:num>
  <w:num w:numId="18" w16cid:durableId="1837303634">
    <w:abstractNumId w:val="13"/>
  </w:num>
  <w:num w:numId="19" w16cid:durableId="853768600">
    <w:abstractNumId w:val="14"/>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1893"/>
    <w:rsid w:val="00014B8B"/>
    <w:rsid w:val="00017F69"/>
    <w:rsid w:val="00022286"/>
    <w:rsid w:val="00027466"/>
    <w:rsid w:val="00031A78"/>
    <w:rsid w:val="00040DF1"/>
    <w:rsid w:val="000507BC"/>
    <w:rsid w:val="000601E2"/>
    <w:rsid w:val="000607F7"/>
    <w:rsid w:val="00065C9C"/>
    <w:rsid w:val="00066645"/>
    <w:rsid w:val="000713EC"/>
    <w:rsid w:val="00075004"/>
    <w:rsid w:val="00081DF8"/>
    <w:rsid w:val="0008292E"/>
    <w:rsid w:val="000844CA"/>
    <w:rsid w:val="00087668"/>
    <w:rsid w:val="000947C5"/>
    <w:rsid w:val="0009546F"/>
    <w:rsid w:val="000A0076"/>
    <w:rsid w:val="000A5D32"/>
    <w:rsid w:val="000B16E6"/>
    <w:rsid w:val="000B36D7"/>
    <w:rsid w:val="000B496E"/>
    <w:rsid w:val="000B525B"/>
    <w:rsid w:val="000B60AE"/>
    <w:rsid w:val="000C70E9"/>
    <w:rsid w:val="000D62E9"/>
    <w:rsid w:val="000D7419"/>
    <w:rsid w:val="000E33B0"/>
    <w:rsid w:val="000E7706"/>
    <w:rsid w:val="000F1E30"/>
    <w:rsid w:val="000F464E"/>
    <w:rsid w:val="00117E68"/>
    <w:rsid w:val="0012273B"/>
    <w:rsid w:val="001235DD"/>
    <w:rsid w:val="00125460"/>
    <w:rsid w:val="001469FB"/>
    <w:rsid w:val="00151093"/>
    <w:rsid w:val="001538F6"/>
    <w:rsid w:val="001802D1"/>
    <w:rsid w:val="0018102F"/>
    <w:rsid w:val="001824DA"/>
    <w:rsid w:val="00190185"/>
    <w:rsid w:val="00190405"/>
    <w:rsid w:val="00191139"/>
    <w:rsid w:val="001965DA"/>
    <w:rsid w:val="001A54F2"/>
    <w:rsid w:val="001B4740"/>
    <w:rsid w:val="001C6B26"/>
    <w:rsid w:val="001D2D27"/>
    <w:rsid w:val="001D6B9C"/>
    <w:rsid w:val="001E4FA3"/>
    <w:rsid w:val="001E5AE6"/>
    <w:rsid w:val="001F0AF0"/>
    <w:rsid w:val="002211E7"/>
    <w:rsid w:val="002216ED"/>
    <w:rsid w:val="00243A5C"/>
    <w:rsid w:val="0024419D"/>
    <w:rsid w:val="00262AD1"/>
    <w:rsid w:val="0026462A"/>
    <w:rsid w:val="002665B8"/>
    <w:rsid w:val="002671C8"/>
    <w:rsid w:val="00272715"/>
    <w:rsid w:val="0027412F"/>
    <w:rsid w:val="00291FB5"/>
    <w:rsid w:val="00294873"/>
    <w:rsid w:val="002B5317"/>
    <w:rsid w:val="002C3872"/>
    <w:rsid w:val="002D74B1"/>
    <w:rsid w:val="002F6BE8"/>
    <w:rsid w:val="00311D7D"/>
    <w:rsid w:val="0033246B"/>
    <w:rsid w:val="00354A41"/>
    <w:rsid w:val="00360ECB"/>
    <w:rsid w:val="0036572F"/>
    <w:rsid w:val="00366388"/>
    <w:rsid w:val="00370BE9"/>
    <w:rsid w:val="003749A7"/>
    <w:rsid w:val="00377376"/>
    <w:rsid w:val="003874CA"/>
    <w:rsid w:val="0039515C"/>
    <w:rsid w:val="003959E5"/>
    <w:rsid w:val="003A7CA0"/>
    <w:rsid w:val="003B33C2"/>
    <w:rsid w:val="003B3F66"/>
    <w:rsid w:val="003C11E8"/>
    <w:rsid w:val="003C449B"/>
    <w:rsid w:val="003C4A3D"/>
    <w:rsid w:val="003D6AAB"/>
    <w:rsid w:val="00403341"/>
    <w:rsid w:val="004041FC"/>
    <w:rsid w:val="004073DA"/>
    <w:rsid w:val="004130FD"/>
    <w:rsid w:val="00416AB3"/>
    <w:rsid w:val="00422F75"/>
    <w:rsid w:val="004258E0"/>
    <w:rsid w:val="0043404F"/>
    <w:rsid w:val="00437796"/>
    <w:rsid w:val="00461841"/>
    <w:rsid w:val="00462904"/>
    <w:rsid w:val="00464A13"/>
    <w:rsid w:val="004749E4"/>
    <w:rsid w:val="00480ACF"/>
    <w:rsid w:val="00481897"/>
    <w:rsid w:val="00491714"/>
    <w:rsid w:val="004A522C"/>
    <w:rsid w:val="004B5C43"/>
    <w:rsid w:val="004D1E79"/>
    <w:rsid w:val="004D4C25"/>
    <w:rsid w:val="004E52FC"/>
    <w:rsid w:val="004F43DF"/>
    <w:rsid w:val="004F6AB2"/>
    <w:rsid w:val="005077A1"/>
    <w:rsid w:val="00510BA9"/>
    <w:rsid w:val="00537224"/>
    <w:rsid w:val="005439CF"/>
    <w:rsid w:val="005449A4"/>
    <w:rsid w:val="00545889"/>
    <w:rsid w:val="00550CE4"/>
    <w:rsid w:val="00551B72"/>
    <w:rsid w:val="0055245E"/>
    <w:rsid w:val="00553215"/>
    <w:rsid w:val="005647B8"/>
    <w:rsid w:val="00566DD1"/>
    <w:rsid w:val="00570BFC"/>
    <w:rsid w:val="005726B6"/>
    <w:rsid w:val="00580CA1"/>
    <w:rsid w:val="00582CD7"/>
    <w:rsid w:val="005872B4"/>
    <w:rsid w:val="005C24C7"/>
    <w:rsid w:val="005C724E"/>
    <w:rsid w:val="005D024B"/>
    <w:rsid w:val="005D3E6F"/>
    <w:rsid w:val="005D4F06"/>
    <w:rsid w:val="005E29CE"/>
    <w:rsid w:val="005E5C4B"/>
    <w:rsid w:val="005F51B8"/>
    <w:rsid w:val="005F6554"/>
    <w:rsid w:val="00601C33"/>
    <w:rsid w:val="0060395C"/>
    <w:rsid w:val="00616AF1"/>
    <w:rsid w:val="006275AD"/>
    <w:rsid w:val="006305C7"/>
    <w:rsid w:val="00633C01"/>
    <w:rsid w:val="00636A89"/>
    <w:rsid w:val="006408DC"/>
    <w:rsid w:val="00641757"/>
    <w:rsid w:val="00646E2A"/>
    <w:rsid w:val="00660D90"/>
    <w:rsid w:val="00660DDF"/>
    <w:rsid w:val="00661DEC"/>
    <w:rsid w:val="00684A37"/>
    <w:rsid w:val="006907C9"/>
    <w:rsid w:val="00692538"/>
    <w:rsid w:val="00694315"/>
    <w:rsid w:val="006A2642"/>
    <w:rsid w:val="006B26A1"/>
    <w:rsid w:val="006C1395"/>
    <w:rsid w:val="006D206B"/>
    <w:rsid w:val="006D5F44"/>
    <w:rsid w:val="006D7107"/>
    <w:rsid w:val="006D7E3C"/>
    <w:rsid w:val="006E7558"/>
    <w:rsid w:val="006F039B"/>
    <w:rsid w:val="00704FB2"/>
    <w:rsid w:val="0071283E"/>
    <w:rsid w:val="0072207D"/>
    <w:rsid w:val="00725F23"/>
    <w:rsid w:val="00726004"/>
    <w:rsid w:val="007275CF"/>
    <w:rsid w:val="007304BB"/>
    <w:rsid w:val="00731E72"/>
    <w:rsid w:val="007406D4"/>
    <w:rsid w:val="00741D64"/>
    <w:rsid w:val="0074595D"/>
    <w:rsid w:val="00746BF5"/>
    <w:rsid w:val="00752F2B"/>
    <w:rsid w:val="007576C8"/>
    <w:rsid w:val="007643C8"/>
    <w:rsid w:val="007761D9"/>
    <w:rsid w:val="007809F3"/>
    <w:rsid w:val="00785167"/>
    <w:rsid w:val="00785E91"/>
    <w:rsid w:val="007861FE"/>
    <w:rsid w:val="007A6265"/>
    <w:rsid w:val="007D4B40"/>
    <w:rsid w:val="007D7402"/>
    <w:rsid w:val="007E6CE9"/>
    <w:rsid w:val="007F1589"/>
    <w:rsid w:val="007F33D3"/>
    <w:rsid w:val="00806FA8"/>
    <w:rsid w:val="00807324"/>
    <w:rsid w:val="008217EC"/>
    <w:rsid w:val="00821FC6"/>
    <w:rsid w:val="00827A5D"/>
    <w:rsid w:val="00833C81"/>
    <w:rsid w:val="0084330E"/>
    <w:rsid w:val="00853A1F"/>
    <w:rsid w:val="00857BB1"/>
    <w:rsid w:val="00861146"/>
    <w:rsid w:val="008624FF"/>
    <w:rsid w:val="008636B7"/>
    <w:rsid w:val="00864BB8"/>
    <w:rsid w:val="008656A1"/>
    <w:rsid w:val="008675FD"/>
    <w:rsid w:val="00870BF2"/>
    <w:rsid w:val="00876BC0"/>
    <w:rsid w:val="00876C80"/>
    <w:rsid w:val="008808EF"/>
    <w:rsid w:val="00881B79"/>
    <w:rsid w:val="008A0201"/>
    <w:rsid w:val="008A049A"/>
    <w:rsid w:val="008A5DB3"/>
    <w:rsid w:val="008B3C03"/>
    <w:rsid w:val="008C2349"/>
    <w:rsid w:val="008D1F9F"/>
    <w:rsid w:val="008D2946"/>
    <w:rsid w:val="008D3BE5"/>
    <w:rsid w:val="008E28BF"/>
    <w:rsid w:val="008E6444"/>
    <w:rsid w:val="008F3933"/>
    <w:rsid w:val="008F5169"/>
    <w:rsid w:val="008F6C2E"/>
    <w:rsid w:val="00906107"/>
    <w:rsid w:val="00910821"/>
    <w:rsid w:val="009155B0"/>
    <w:rsid w:val="009249F8"/>
    <w:rsid w:val="00926872"/>
    <w:rsid w:val="00931B0A"/>
    <w:rsid w:val="009525EC"/>
    <w:rsid w:val="009564C2"/>
    <w:rsid w:val="00956CFA"/>
    <w:rsid w:val="009628E4"/>
    <w:rsid w:val="00992E51"/>
    <w:rsid w:val="00997B2D"/>
    <w:rsid w:val="009A3997"/>
    <w:rsid w:val="009A42AF"/>
    <w:rsid w:val="009B1773"/>
    <w:rsid w:val="009B7043"/>
    <w:rsid w:val="009C7F5A"/>
    <w:rsid w:val="009D42AE"/>
    <w:rsid w:val="009E4905"/>
    <w:rsid w:val="009E566D"/>
    <w:rsid w:val="009E5B6C"/>
    <w:rsid w:val="009F71E6"/>
    <w:rsid w:val="00A07C9A"/>
    <w:rsid w:val="00A13258"/>
    <w:rsid w:val="00A15BCF"/>
    <w:rsid w:val="00A23A28"/>
    <w:rsid w:val="00A248B8"/>
    <w:rsid w:val="00A25C15"/>
    <w:rsid w:val="00A3157D"/>
    <w:rsid w:val="00A60321"/>
    <w:rsid w:val="00A646D1"/>
    <w:rsid w:val="00A66EDF"/>
    <w:rsid w:val="00A700B1"/>
    <w:rsid w:val="00A70952"/>
    <w:rsid w:val="00A75754"/>
    <w:rsid w:val="00A7741E"/>
    <w:rsid w:val="00A83CC2"/>
    <w:rsid w:val="00A91C48"/>
    <w:rsid w:val="00A9779B"/>
    <w:rsid w:val="00AA011F"/>
    <w:rsid w:val="00AD1356"/>
    <w:rsid w:val="00AD6B45"/>
    <w:rsid w:val="00AF24C7"/>
    <w:rsid w:val="00AF2CF9"/>
    <w:rsid w:val="00B111CE"/>
    <w:rsid w:val="00B21D35"/>
    <w:rsid w:val="00B2604C"/>
    <w:rsid w:val="00B31C96"/>
    <w:rsid w:val="00B358C1"/>
    <w:rsid w:val="00B35CA5"/>
    <w:rsid w:val="00B36E41"/>
    <w:rsid w:val="00B508F7"/>
    <w:rsid w:val="00B576D5"/>
    <w:rsid w:val="00B63ABA"/>
    <w:rsid w:val="00B660BA"/>
    <w:rsid w:val="00B74CCF"/>
    <w:rsid w:val="00B757AD"/>
    <w:rsid w:val="00B77FDA"/>
    <w:rsid w:val="00B81ADA"/>
    <w:rsid w:val="00B93039"/>
    <w:rsid w:val="00B933A6"/>
    <w:rsid w:val="00B970A6"/>
    <w:rsid w:val="00BB65A3"/>
    <w:rsid w:val="00BC480B"/>
    <w:rsid w:val="00BE0CB3"/>
    <w:rsid w:val="00BF06B9"/>
    <w:rsid w:val="00BF1D0D"/>
    <w:rsid w:val="00C042D3"/>
    <w:rsid w:val="00C07045"/>
    <w:rsid w:val="00C11050"/>
    <w:rsid w:val="00C144B0"/>
    <w:rsid w:val="00C209F3"/>
    <w:rsid w:val="00C210AE"/>
    <w:rsid w:val="00C404AC"/>
    <w:rsid w:val="00C50A24"/>
    <w:rsid w:val="00C56B9C"/>
    <w:rsid w:val="00C66077"/>
    <w:rsid w:val="00C701B6"/>
    <w:rsid w:val="00C744D5"/>
    <w:rsid w:val="00C828BD"/>
    <w:rsid w:val="00C9614D"/>
    <w:rsid w:val="00CA1178"/>
    <w:rsid w:val="00CA3B04"/>
    <w:rsid w:val="00CA7509"/>
    <w:rsid w:val="00CA7E29"/>
    <w:rsid w:val="00CB429B"/>
    <w:rsid w:val="00CC09E9"/>
    <w:rsid w:val="00CC28BC"/>
    <w:rsid w:val="00CC2BDE"/>
    <w:rsid w:val="00CD494C"/>
    <w:rsid w:val="00CD7354"/>
    <w:rsid w:val="00CE07CC"/>
    <w:rsid w:val="00CE0971"/>
    <w:rsid w:val="00CF0FE9"/>
    <w:rsid w:val="00CF6676"/>
    <w:rsid w:val="00D0171D"/>
    <w:rsid w:val="00D02909"/>
    <w:rsid w:val="00D0696E"/>
    <w:rsid w:val="00D06E6D"/>
    <w:rsid w:val="00D16B42"/>
    <w:rsid w:val="00D17AF3"/>
    <w:rsid w:val="00D25109"/>
    <w:rsid w:val="00D26E45"/>
    <w:rsid w:val="00D3364F"/>
    <w:rsid w:val="00D356E1"/>
    <w:rsid w:val="00D36626"/>
    <w:rsid w:val="00D4077A"/>
    <w:rsid w:val="00D427BB"/>
    <w:rsid w:val="00D53273"/>
    <w:rsid w:val="00D64918"/>
    <w:rsid w:val="00D64D58"/>
    <w:rsid w:val="00D652B4"/>
    <w:rsid w:val="00D71C14"/>
    <w:rsid w:val="00D82F0F"/>
    <w:rsid w:val="00D85EE8"/>
    <w:rsid w:val="00D94783"/>
    <w:rsid w:val="00DA27F7"/>
    <w:rsid w:val="00DA5783"/>
    <w:rsid w:val="00DA6B9A"/>
    <w:rsid w:val="00DB47D4"/>
    <w:rsid w:val="00DC1530"/>
    <w:rsid w:val="00DC1893"/>
    <w:rsid w:val="00DC2B83"/>
    <w:rsid w:val="00DD4B2F"/>
    <w:rsid w:val="00DF2227"/>
    <w:rsid w:val="00DF52B7"/>
    <w:rsid w:val="00E01344"/>
    <w:rsid w:val="00E03CF0"/>
    <w:rsid w:val="00E0683F"/>
    <w:rsid w:val="00E118DD"/>
    <w:rsid w:val="00E13316"/>
    <w:rsid w:val="00E1670A"/>
    <w:rsid w:val="00E249FE"/>
    <w:rsid w:val="00E34003"/>
    <w:rsid w:val="00E36ECF"/>
    <w:rsid w:val="00E55ADC"/>
    <w:rsid w:val="00E55F47"/>
    <w:rsid w:val="00E57D1D"/>
    <w:rsid w:val="00E60123"/>
    <w:rsid w:val="00E71602"/>
    <w:rsid w:val="00E758D4"/>
    <w:rsid w:val="00E76114"/>
    <w:rsid w:val="00E80586"/>
    <w:rsid w:val="00E84D17"/>
    <w:rsid w:val="00EA1F77"/>
    <w:rsid w:val="00EA3D6D"/>
    <w:rsid w:val="00EA6A19"/>
    <w:rsid w:val="00EB3740"/>
    <w:rsid w:val="00EC1DC4"/>
    <w:rsid w:val="00EC21F6"/>
    <w:rsid w:val="00EC476F"/>
    <w:rsid w:val="00EC6F30"/>
    <w:rsid w:val="00EF3318"/>
    <w:rsid w:val="00EF3F66"/>
    <w:rsid w:val="00EF51F2"/>
    <w:rsid w:val="00EF63E8"/>
    <w:rsid w:val="00EF736D"/>
    <w:rsid w:val="00F03A84"/>
    <w:rsid w:val="00F03F73"/>
    <w:rsid w:val="00F20C70"/>
    <w:rsid w:val="00F33243"/>
    <w:rsid w:val="00F34F8E"/>
    <w:rsid w:val="00F3509A"/>
    <w:rsid w:val="00F35B81"/>
    <w:rsid w:val="00F469FF"/>
    <w:rsid w:val="00F502A7"/>
    <w:rsid w:val="00F5343F"/>
    <w:rsid w:val="00F55F91"/>
    <w:rsid w:val="00F655F5"/>
    <w:rsid w:val="00F66056"/>
    <w:rsid w:val="00F67354"/>
    <w:rsid w:val="00F81B1D"/>
    <w:rsid w:val="00F832A3"/>
    <w:rsid w:val="00FA53DD"/>
    <w:rsid w:val="00FA7328"/>
    <w:rsid w:val="00FA7549"/>
    <w:rsid w:val="00FB28BD"/>
    <w:rsid w:val="00FD2997"/>
    <w:rsid w:val="00FD620C"/>
    <w:rsid w:val="00FE48CF"/>
    <w:rsid w:val="00FF3110"/>
    <w:rsid w:val="00FF665B"/>
    <w:rsid w:val="00FF6B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A0587F"/>
  <w15:chartTrackingRefBased/>
  <w15:docId w15:val="{32C3EC55-0EF1-46C8-89A1-63018A439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theme="minorBidi"/>
        <w:color w:val="003057" w:themeColor="text1"/>
        <w:sz w:val="24"/>
        <w:szCs w:val="24"/>
        <w:lang w:val="en-GB" w:eastAsia="en-US" w:bidi="ar-SA"/>
      </w:rPr>
    </w:rPrDefault>
    <w:pPrDefault>
      <w:pPr>
        <w:spacing w:after="220" w:line="288" w:lineRule="exact"/>
      </w:pPr>
    </w:pPrDefault>
  </w:docDefaults>
  <w:latentStyles w:defLockedState="0" w:defUIPriority="99" w:defSemiHidden="0" w:defUnhideWhenUsed="0" w:defQFormat="0" w:count="376">
    <w:lsdException w:name="Normal" w:uiPriority="2"/>
    <w:lsdException w:name="heading 1" w:semiHidden="1" w:uiPriority="9"/>
    <w:lsdException w:name="heading 2" w:semiHidden="1" w:uiPriority="9"/>
    <w:lsdException w:name="heading 3" w:semiHidden="1" w:uiPriority="9" w:unhideWhenUsed="1"/>
    <w:lsdException w:name="heading 4" w:semiHidden="1" w:uiPriority="30" w:unhideWhenUsed="1"/>
    <w:lsdException w:name="heading 5" w:semiHidden="1" w:uiPriority="30" w:unhideWhenUsed="1"/>
    <w:lsdException w:name="heading 6" w:semiHidden="1" w:uiPriority="30"/>
    <w:lsdException w:name="heading 7" w:semiHidden="1" w:uiPriority="30" w:qFormat="1"/>
    <w:lsdException w:name="heading 8" w:semiHidden="1" w:uiPriority="30" w:qFormat="1"/>
    <w:lsdException w:name="heading 9" w:semiHidden="1" w:uiPriority="3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47" w:unhideWhenUsed="1"/>
    <w:lsdException w:name="toc 6" w:semiHidden="1" w:uiPriority="47" w:unhideWhenUsed="1"/>
    <w:lsdException w:name="toc 7" w:semiHidden="1" w:uiPriority="47" w:unhideWhenUsed="1"/>
    <w:lsdException w:name="toc 8" w:semiHidden="1" w:uiPriority="47" w:unhideWhenUsed="1"/>
    <w:lsdException w:name="toc 9" w:semiHidden="1" w:uiPriority="47"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4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32" w:qFormat="1"/>
    <w:lsdException w:name="Emphasis" w:semiHidden="1" w:uiPriority="3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44"/>
    <w:lsdException w:name="Quote" w:semiHidden="1" w:uiPriority="39" w:qFormat="1"/>
    <w:lsdException w:name="Intense Quote" w:semiHidden="1" w:uiPriority="4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29" w:qFormat="1"/>
    <w:lsdException w:name="Intense Emphasis" w:semiHidden="1" w:uiPriority="31" w:qFormat="1"/>
    <w:lsdException w:name="Subtle Reference" w:semiHidden="1" w:uiPriority="41" w:qFormat="1"/>
    <w:lsdException w:name="Intense Reference" w:semiHidden="1" w:uiPriority="42"/>
    <w:lsdException w:name="Book Title" w:semiHidden="1" w:uiPriority="43"/>
    <w:lsdException w:name="Bibliography" w:semiHidden="1" w:uiPriority="4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2"/>
    <w:rsid w:val="00461841"/>
    <w:pPr>
      <w:spacing w:before="240" w:after="240" w:line="288" w:lineRule="atLeast"/>
    </w:pPr>
  </w:style>
  <w:style w:type="paragraph" w:styleId="Heading1">
    <w:name w:val="heading 1"/>
    <w:basedOn w:val="A-head"/>
    <w:next w:val="Normal"/>
    <w:link w:val="Heading1Char"/>
    <w:uiPriority w:val="30"/>
    <w:semiHidden/>
    <w:rsid w:val="00545889"/>
    <w:pPr>
      <w:outlineLvl w:val="0"/>
    </w:pPr>
  </w:style>
  <w:style w:type="paragraph" w:styleId="Heading2">
    <w:name w:val="heading 2"/>
    <w:basedOn w:val="B-head"/>
    <w:next w:val="Normal"/>
    <w:link w:val="Heading2Char"/>
    <w:uiPriority w:val="30"/>
    <w:semiHidden/>
    <w:rsid w:val="00545889"/>
    <w:pPr>
      <w:outlineLvl w:val="1"/>
    </w:pPr>
  </w:style>
  <w:style w:type="paragraph" w:styleId="Heading3">
    <w:name w:val="heading 3"/>
    <w:basedOn w:val="C-head"/>
    <w:next w:val="Normal"/>
    <w:link w:val="Heading3Char"/>
    <w:uiPriority w:val="30"/>
    <w:semiHidden/>
    <w:rsid w:val="00545889"/>
    <w:pPr>
      <w:outlineLvl w:val="2"/>
    </w:pPr>
  </w:style>
  <w:style w:type="paragraph" w:styleId="Heading4">
    <w:name w:val="heading 4"/>
    <w:basedOn w:val="Normal"/>
    <w:next w:val="Normal"/>
    <w:link w:val="Heading4Char"/>
    <w:uiPriority w:val="30"/>
    <w:semiHidden/>
    <w:rsid w:val="00633C01"/>
    <w:pPr>
      <w:keepNext/>
      <w:keepLines/>
      <w:spacing w:before="40" w:after="0"/>
      <w:outlineLvl w:val="3"/>
    </w:pPr>
    <w:rPr>
      <w:rFonts w:asciiTheme="majorHAnsi" w:eastAsiaTheme="majorEastAsia" w:hAnsiTheme="majorHAnsi" w:cstheme="majorBidi"/>
      <w:i/>
      <w:iCs/>
    </w:rPr>
  </w:style>
  <w:style w:type="paragraph" w:styleId="Heading5">
    <w:name w:val="heading 5"/>
    <w:basedOn w:val="Normal"/>
    <w:next w:val="Normal"/>
    <w:link w:val="Heading5Char"/>
    <w:uiPriority w:val="30"/>
    <w:semiHidden/>
    <w:rsid w:val="00633C01"/>
    <w:pPr>
      <w:keepNext/>
      <w:keepLines/>
      <w:spacing w:before="40" w:after="0"/>
      <w:outlineLvl w:val="4"/>
    </w:pPr>
    <w:rPr>
      <w:rFonts w:asciiTheme="majorHAnsi" w:eastAsiaTheme="majorEastAsia" w:hAnsiTheme="majorHAnsi" w:cstheme="majorBidi"/>
    </w:rPr>
  </w:style>
  <w:style w:type="paragraph" w:styleId="Heading6">
    <w:name w:val="heading 6"/>
    <w:basedOn w:val="Normal"/>
    <w:next w:val="Normal"/>
    <w:link w:val="Heading6Char"/>
    <w:uiPriority w:val="30"/>
    <w:semiHidden/>
    <w:rsid w:val="00633C01"/>
    <w:pPr>
      <w:keepNext/>
      <w:keepLines/>
      <w:spacing w:before="40" w:after="0"/>
      <w:outlineLvl w:val="5"/>
    </w:pPr>
    <w:rPr>
      <w:rFonts w:asciiTheme="majorHAnsi" w:eastAsiaTheme="majorEastAsia" w:hAnsiTheme="majorHAnsi" w:cstheme="majorBidi"/>
    </w:rPr>
  </w:style>
  <w:style w:type="paragraph" w:styleId="Heading7">
    <w:name w:val="heading 7"/>
    <w:basedOn w:val="Normal"/>
    <w:next w:val="Normal"/>
    <w:link w:val="Heading7Char"/>
    <w:uiPriority w:val="30"/>
    <w:semiHidden/>
    <w:qFormat/>
    <w:rsid w:val="00633C01"/>
    <w:pPr>
      <w:keepNext/>
      <w:keepLines/>
      <w:spacing w:before="40"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30"/>
    <w:semiHidden/>
    <w:qFormat/>
    <w:rsid w:val="00F33243"/>
    <w:pPr>
      <w:keepNext/>
      <w:keepLines/>
      <w:spacing w:before="40" w:after="0"/>
      <w:outlineLvl w:val="7"/>
    </w:pPr>
    <w:rPr>
      <w:rFonts w:asciiTheme="majorHAnsi" w:eastAsiaTheme="majorEastAsia" w:hAnsiTheme="majorHAnsi" w:cstheme="majorBidi"/>
      <w:color w:val="0099C3" w:themeColor="background2"/>
      <w:sz w:val="21"/>
      <w:szCs w:val="21"/>
    </w:rPr>
  </w:style>
  <w:style w:type="paragraph" w:styleId="Heading9">
    <w:name w:val="heading 9"/>
    <w:basedOn w:val="Normal"/>
    <w:next w:val="Normal"/>
    <w:link w:val="Heading9Char"/>
    <w:uiPriority w:val="30"/>
    <w:semiHidden/>
    <w:qFormat/>
    <w:rsid w:val="00F33243"/>
    <w:pPr>
      <w:keepNext/>
      <w:keepLines/>
      <w:spacing w:before="40" w:after="0"/>
      <w:outlineLvl w:val="8"/>
    </w:pPr>
    <w:rPr>
      <w:rFonts w:asciiTheme="majorHAnsi" w:eastAsiaTheme="majorEastAsia" w:hAnsiTheme="majorHAnsi" w:cstheme="majorBidi"/>
      <w:i/>
      <w:iCs/>
      <w:color w:val="0099C3" w:themeColor="background2"/>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basedOn w:val="Normal"/>
    <w:uiPriority w:val="6"/>
    <w:qFormat/>
    <w:rsid w:val="00F3509A"/>
  </w:style>
  <w:style w:type="paragraph" w:styleId="Header">
    <w:name w:val="header"/>
    <w:basedOn w:val="Normal"/>
    <w:link w:val="HeaderChar"/>
    <w:uiPriority w:val="99"/>
    <w:semiHidden/>
    <w:rsid w:val="00461841"/>
    <w:pPr>
      <w:spacing w:before="0" w:after="0" w:line="240" w:lineRule="auto"/>
      <w:jc w:val="right"/>
    </w:pPr>
    <w:rPr>
      <w:sz w:val="16"/>
    </w:rPr>
  </w:style>
  <w:style w:type="character" w:customStyle="1" w:styleId="HeaderChar">
    <w:name w:val="Header Char"/>
    <w:basedOn w:val="DefaultParagraphFont"/>
    <w:link w:val="Header"/>
    <w:uiPriority w:val="99"/>
    <w:semiHidden/>
    <w:rsid w:val="00461841"/>
    <w:rPr>
      <w:sz w:val="16"/>
    </w:rPr>
  </w:style>
  <w:style w:type="paragraph" w:styleId="Footer">
    <w:name w:val="footer"/>
    <w:basedOn w:val="Normal"/>
    <w:link w:val="FooterChar"/>
    <w:uiPriority w:val="99"/>
    <w:semiHidden/>
    <w:rsid w:val="00481897"/>
    <w:pPr>
      <w:spacing w:before="60" w:after="0" w:line="240" w:lineRule="auto"/>
      <w:jc w:val="center"/>
    </w:pPr>
    <w:rPr>
      <w:szCs w:val="20"/>
    </w:rPr>
  </w:style>
  <w:style w:type="character" w:customStyle="1" w:styleId="FooterChar">
    <w:name w:val="Footer Char"/>
    <w:basedOn w:val="DefaultParagraphFont"/>
    <w:link w:val="Footer"/>
    <w:uiPriority w:val="99"/>
    <w:semiHidden/>
    <w:rsid w:val="00481897"/>
    <w:rPr>
      <w:color w:val="003057" w:themeColor="text1"/>
      <w:szCs w:val="20"/>
    </w:rPr>
  </w:style>
  <w:style w:type="paragraph" w:styleId="Title">
    <w:name w:val="Title"/>
    <w:next w:val="Subtitle"/>
    <w:link w:val="TitleChar"/>
    <w:uiPriority w:val="99"/>
    <w:semiHidden/>
    <w:rsid w:val="0018102F"/>
    <w:pPr>
      <w:spacing w:before="560" w:after="560" w:line="1360" w:lineRule="atLeast"/>
      <w:ind w:right="940"/>
    </w:pPr>
    <w:rPr>
      <w:b/>
      <w:sz w:val="120"/>
      <w:szCs w:val="120"/>
    </w:rPr>
  </w:style>
  <w:style w:type="character" w:customStyle="1" w:styleId="TitleChar">
    <w:name w:val="Title Char"/>
    <w:basedOn w:val="DefaultParagraphFont"/>
    <w:link w:val="Title"/>
    <w:uiPriority w:val="99"/>
    <w:semiHidden/>
    <w:rsid w:val="008217EC"/>
    <w:rPr>
      <w:b/>
      <w:color w:val="003057" w:themeColor="text1"/>
      <w:sz w:val="120"/>
      <w:szCs w:val="120"/>
    </w:rPr>
  </w:style>
  <w:style w:type="paragraph" w:styleId="Subtitle">
    <w:name w:val="Subtitle"/>
    <w:basedOn w:val="A-head"/>
    <w:next w:val="Date"/>
    <w:link w:val="SubtitleChar"/>
    <w:uiPriority w:val="99"/>
    <w:semiHidden/>
    <w:rsid w:val="00F20C70"/>
    <w:pPr>
      <w:outlineLvl w:val="9"/>
    </w:pPr>
  </w:style>
  <w:style w:type="character" w:customStyle="1" w:styleId="SubtitleChar">
    <w:name w:val="Subtitle Char"/>
    <w:basedOn w:val="DefaultParagraphFont"/>
    <w:link w:val="Subtitle"/>
    <w:uiPriority w:val="99"/>
    <w:semiHidden/>
    <w:rsid w:val="00F20C70"/>
    <w:rPr>
      <w:color w:val="003057" w:themeColor="text1"/>
      <w:sz w:val="48"/>
      <w:szCs w:val="48"/>
    </w:rPr>
  </w:style>
  <w:style w:type="paragraph" w:styleId="Date">
    <w:name w:val="Date"/>
    <w:basedOn w:val="B-head"/>
    <w:next w:val="Body"/>
    <w:link w:val="DateChar"/>
    <w:uiPriority w:val="99"/>
    <w:semiHidden/>
    <w:rsid w:val="00F20C70"/>
    <w:pPr>
      <w:outlineLvl w:val="9"/>
    </w:pPr>
  </w:style>
  <w:style w:type="character" w:customStyle="1" w:styleId="DateChar">
    <w:name w:val="Date Char"/>
    <w:basedOn w:val="DefaultParagraphFont"/>
    <w:link w:val="Date"/>
    <w:uiPriority w:val="99"/>
    <w:semiHidden/>
    <w:rsid w:val="00F20C70"/>
    <w:rPr>
      <w:color w:val="68813B" w:themeColor="accent4"/>
      <w:sz w:val="32"/>
      <w:szCs w:val="32"/>
    </w:rPr>
  </w:style>
  <w:style w:type="table" w:styleId="TableGrid">
    <w:name w:val="Table Grid"/>
    <w:basedOn w:val="TableNormal"/>
    <w:uiPriority w:val="39"/>
    <w:rsid w:val="009A42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verandsuperheadline">
    <w:name w:val="Cover and super headline"/>
    <w:next w:val="Normal"/>
    <w:uiPriority w:val="24"/>
    <w:qFormat/>
    <w:rsid w:val="00636A89"/>
    <w:pPr>
      <w:spacing w:after="560" w:line="1360" w:lineRule="atLeast"/>
      <w:ind w:right="941"/>
    </w:pPr>
    <w:rPr>
      <w:b/>
      <w:sz w:val="120"/>
      <w:szCs w:val="120"/>
    </w:rPr>
  </w:style>
  <w:style w:type="paragraph" w:customStyle="1" w:styleId="Coversubtitle">
    <w:name w:val="Cover subtitle"/>
    <w:basedOn w:val="A-head"/>
    <w:next w:val="Coverdate"/>
    <w:uiPriority w:val="24"/>
    <w:qFormat/>
    <w:rsid w:val="00F20C70"/>
    <w:pPr>
      <w:outlineLvl w:val="9"/>
    </w:pPr>
  </w:style>
  <w:style w:type="paragraph" w:customStyle="1" w:styleId="Coverdate">
    <w:name w:val="Cover date"/>
    <w:basedOn w:val="B-head"/>
    <w:next w:val="Body"/>
    <w:uiPriority w:val="25"/>
    <w:qFormat/>
    <w:rsid w:val="00F20C70"/>
    <w:pPr>
      <w:outlineLvl w:val="9"/>
    </w:pPr>
  </w:style>
  <w:style w:type="paragraph" w:customStyle="1" w:styleId="Chapterheadnumber">
    <w:name w:val="Chapter head number"/>
    <w:next w:val="Body"/>
    <w:uiPriority w:val="4"/>
    <w:qFormat/>
    <w:rsid w:val="000A0076"/>
    <w:pPr>
      <w:pageBreakBefore/>
      <w:numPr>
        <w:numId w:val="2"/>
      </w:numPr>
      <w:spacing w:after="560" w:line="680" w:lineRule="atLeast"/>
      <w:outlineLvl w:val="0"/>
    </w:pPr>
    <w:rPr>
      <w:b/>
      <w:sz w:val="60"/>
      <w:szCs w:val="60"/>
    </w:rPr>
  </w:style>
  <w:style w:type="paragraph" w:customStyle="1" w:styleId="A-head">
    <w:name w:val="A-head"/>
    <w:basedOn w:val="Normal"/>
    <w:next w:val="Body"/>
    <w:qFormat/>
    <w:rsid w:val="00F3509A"/>
    <w:pPr>
      <w:spacing w:before="400" w:line="600" w:lineRule="atLeast"/>
      <w:outlineLvl w:val="1"/>
    </w:pPr>
    <w:rPr>
      <w:sz w:val="48"/>
      <w:szCs w:val="48"/>
    </w:rPr>
  </w:style>
  <w:style w:type="paragraph" w:customStyle="1" w:styleId="B-head">
    <w:name w:val="B-head"/>
    <w:basedOn w:val="Normal"/>
    <w:next w:val="Body"/>
    <w:qFormat/>
    <w:rsid w:val="00F3509A"/>
    <w:pPr>
      <w:spacing w:before="400" w:line="400" w:lineRule="atLeast"/>
      <w:outlineLvl w:val="2"/>
    </w:pPr>
    <w:rPr>
      <w:color w:val="0099C3" w:themeColor="background2"/>
      <w:sz w:val="32"/>
      <w:szCs w:val="32"/>
    </w:rPr>
  </w:style>
  <w:style w:type="paragraph" w:customStyle="1" w:styleId="C-head">
    <w:name w:val="C-head"/>
    <w:basedOn w:val="Normal"/>
    <w:next w:val="Body"/>
    <w:qFormat/>
    <w:rsid w:val="00633C01"/>
    <w:pPr>
      <w:spacing w:line="320" w:lineRule="atLeast"/>
      <w:outlineLvl w:val="3"/>
    </w:pPr>
    <w:rPr>
      <w:b/>
    </w:rPr>
  </w:style>
  <w:style w:type="character" w:styleId="SubtleEmphasis">
    <w:name w:val="Subtle Emphasis"/>
    <w:basedOn w:val="DefaultParagraphFont"/>
    <w:uiPriority w:val="29"/>
    <w:semiHidden/>
    <w:qFormat/>
    <w:rsid w:val="00F33243"/>
    <w:rPr>
      <w:i/>
      <w:iCs/>
      <w:color w:val="0099C3" w:themeColor="background2"/>
    </w:rPr>
  </w:style>
  <w:style w:type="paragraph" w:customStyle="1" w:styleId="Contentsheading">
    <w:name w:val="Contents heading"/>
    <w:basedOn w:val="A-head"/>
    <w:next w:val="Body"/>
    <w:uiPriority w:val="23"/>
    <w:qFormat/>
    <w:rsid w:val="00481897"/>
    <w:pPr>
      <w:keepNext/>
      <w:pageBreakBefore/>
      <w:outlineLvl w:val="9"/>
    </w:pPr>
  </w:style>
  <w:style w:type="paragraph" w:customStyle="1" w:styleId="Paranumber">
    <w:name w:val="Para number"/>
    <w:basedOn w:val="Body"/>
    <w:uiPriority w:val="8"/>
    <w:qFormat/>
    <w:rsid w:val="00EA6A19"/>
    <w:pPr>
      <w:numPr>
        <w:ilvl w:val="1"/>
        <w:numId w:val="2"/>
      </w:numPr>
    </w:pPr>
  </w:style>
  <w:style w:type="character" w:customStyle="1" w:styleId="Heading1Char">
    <w:name w:val="Heading 1 Char"/>
    <w:basedOn w:val="DefaultParagraphFont"/>
    <w:link w:val="Heading1"/>
    <w:uiPriority w:val="30"/>
    <w:semiHidden/>
    <w:rsid w:val="00F20C70"/>
    <w:rPr>
      <w:color w:val="003057" w:themeColor="text1"/>
      <w:sz w:val="48"/>
      <w:szCs w:val="48"/>
    </w:rPr>
  </w:style>
  <w:style w:type="character" w:customStyle="1" w:styleId="Heading2Char">
    <w:name w:val="Heading 2 Char"/>
    <w:basedOn w:val="DefaultParagraphFont"/>
    <w:link w:val="Heading2"/>
    <w:uiPriority w:val="30"/>
    <w:semiHidden/>
    <w:rsid w:val="00F20C70"/>
    <w:rPr>
      <w:color w:val="68813B" w:themeColor="accent4"/>
      <w:sz w:val="32"/>
      <w:szCs w:val="32"/>
    </w:rPr>
  </w:style>
  <w:style w:type="character" w:customStyle="1" w:styleId="Heading3Char">
    <w:name w:val="Heading 3 Char"/>
    <w:basedOn w:val="DefaultParagraphFont"/>
    <w:link w:val="Heading3"/>
    <w:uiPriority w:val="30"/>
    <w:semiHidden/>
    <w:rsid w:val="00F20C70"/>
    <w:rPr>
      <w:b/>
      <w:color w:val="003057" w:themeColor="text1"/>
    </w:rPr>
  </w:style>
  <w:style w:type="paragraph" w:customStyle="1" w:styleId="Paranonumber">
    <w:name w:val="Para no number"/>
    <w:basedOn w:val="Body"/>
    <w:uiPriority w:val="7"/>
    <w:qFormat/>
    <w:rsid w:val="00EA6A19"/>
  </w:style>
  <w:style w:type="paragraph" w:customStyle="1" w:styleId="Bulletspaced">
    <w:name w:val="Bullet spaced"/>
    <w:basedOn w:val="Body"/>
    <w:uiPriority w:val="6"/>
    <w:qFormat/>
    <w:rsid w:val="00081DF8"/>
    <w:pPr>
      <w:numPr>
        <w:numId w:val="6"/>
      </w:numPr>
      <w:spacing w:before="120" w:after="120"/>
    </w:pPr>
  </w:style>
  <w:style w:type="numbering" w:customStyle="1" w:styleId="ECList">
    <w:name w:val="ECList"/>
    <w:uiPriority w:val="99"/>
    <w:rsid w:val="000A0076"/>
    <w:pPr>
      <w:numPr>
        <w:numId w:val="1"/>
      </w:numPr>
    </w:pPr>
  </w:style>
  <w:style w:type="paragraph" w:styleId="TOC1">
    <w:name w:val="toc 1"/>
    <w:basedOn w:val="Normal"/>
    <w:next w:val="Normal"/>
    <w:uiPriority w:val="39"/>
    <w:rsid w:val="00633C01"/>
    <w:pPr>
      <w:tabs>
        <w:tab w:val="right" w:leader="dot" w:pos="9577"/>
      </w:tabs>
      <w:spacing w:before="220" w:after="100"/>
    </w:pPr>
    <w:rPr>
      <w:b/>
      <w:noProof/>
    </w:rPr>
  </w:style>
  <w:style w:type="paragraph" w:styleId="TOC2">
    <w:name w:val="toc 2"/>
    <w:basedOn w:val="Normal"/>
    <w:next w:val="Normal"/>
    <w:uiPriority w:val="39"/>
    <w:rsid w:val="00633C01"/>
    <w:pPr>
      <w:tabs>
        <w:tab w:val="right" w:leader="dot" w:pos="9577"/>
      </w:tabs>
      <w:spacing w:after="100"/>
      <w:ind w:left="425"/>
    </w:pPr>
  </w:style>
  <w:style w:type="paragraph" w:styleId="TOC3">
    <w:name w:val="toc 3"/>
    <w:basedOn w:val="Normal"/>
    <w:next w:val="Normal"/>
    <w:uiPriority w:val="39"/>
    <w:rsid w:val="0060395C"/>
    <w:pPr>
      <w:tabs>
        <w:tab w:val="right" w:leader="dot" w:pos="9577"/>
      </w:tabs>
      <w:spacing w:after="100"/>
      <w:ind w:left="567"/>
    </w:pPr>
  </w:style>
  <w:style w:type="character" w:styleId="Hyperlink">
    <w:name w:val="Hyperlink"/>
    <w:basedOn w:val="DefaultParagraphFont"/>
    <w:uiPriority w:val="99"/>
    <w:unhideWhenUsed/>
    <w:rsid w:val="00C210AE"/>
    <w:rPr>
      <w:color w:val="0099C3" w:themeColor="hyperlink"/>
      <w:u w:val="single"/>
    </w:rPr>
  </w:style>
  <w:style w:type="paragraph" w:styleId="TOC4">
    <w:name w:val="toc 4"/>
    <w:basedOn w:val="Normal"/>
    <w:next w:val="Normal"/>
    <w:autoRedefine/>
    <w:uiPriority w:val="47"/>
    <w:unhideWhenUsed/>
    <w:rsid w:val="0060395C"/>
    <w:pPr>
      <w:tabs>
        <w:tab w:val="right" w:leader="dot" w:pos="9577"/>
      </w:tabs>
      <w:spacing w:after="100"/>
      <w:ind w:left="737"/>
    </w:pPr>
  </w:style>
  <w:style w:type="paragraph" w:customStyle="1" w:styleId="Appendixheadnumber">
    <w:name w:val="Appendix head number"/>
    <w:basedOn w:val="Chapterheadnumber"/>
    <w:next w:val="Body"/>
    <w:uiPriority w:val="28"/>
    <w:qFormat/>
    <w:rsid w:val="000B60AE"/>
    <w:pPr>
      <w:numPr>
        <w:numId w:val="4"/>
      </w:numPr>
    </w:pPr>
  </w:style>
  <w:style w:type="paragraph" w:customStyle="1" w:styleId="Appendixparanumber">
    <w:name w:val="Appendix para number"/>
    <w:basedOn w:val="Paranumber"/>
    <w:uiPriority w:val="27"/>
    <w:qFormat/>
    <w:rsid w:val="000B60AE"/>
    <w:pPr>
      <w:numPr>
        <w:numId w:val="4"/>
      </w:numPr>
    </w:pPr>
  </w:style>
  <w:style w:type="numbering" w:customStyle="1" w:styleId="ECAppendix">
    <w:name w:val="ECAppendix"/>
    <w:uiPriority w:val="99"/>
    <w:rsid w:val="000B60AE"/>
    <w:pPr>
      <w:numPr>
        <w:numId w:val="3"/>
      </w:numPr>
    </w:pPr>
  </w:style>
  <w:style w:type="paragraph" w:customStyle="1" w:styleId="Boxtext">
    <w:name w:val="Box text"/>
    <w:basedOn w:val="Body"/>
    <w:uiPriority w:val="17"/>
    <w:qFormat/>
    <w:rsid w:val="00F33243"/>
    <w:pPr>
      <w:pBdr>
        <w:top w:val="single" w:sz="4" w:space="6" w:color="0099C3" w:themeColor="background2"/>
        <w:left w:val="single" w:sz="4" w:space="6" w:color="0099C3" w:themeColor="background2"/>
        <w:bottom w:val="single" w:sz="4" w:space="6" w:color="0099C3" w:themeColor="background2"/>
        <w:right w:val="single" w:sz="4" w:space="6" w:color="0099C3" w:themeColor="background2"/>
      </w:pBdr>
      <w:ind w:left="142" w:right="142"/>
    </w:pPr>
  </w:style>
  <w:style w:type="paragraph" w:customStyle="1" w:styleId="Boxspacedbullet">
    <w:name w:val="Box spaced bullet"/>
    <w:basedOn w:val="Normal"/>
    <w:uiPriority w:val="18"/>
    <w:qFormat/>
    <w:rsid w:val="00633C01"/>
    <w:pPr>
      <w:numPr>
        <w:numId w:val="5"/>
      </w:numPr>
      <w:pBdr>
        <w:top w:val="single" w:sz="4" w:space="6" w:color="0099C3" w:themeColor="background2"/>
        <w:left w:val="single" w:sz="4" w:space="6" w:color="0099C3" w:themeColor="background2"/>
        <w:bottom w:val="single" w:sz="4" w:space="6" w:color="0099C3" w:themeColor="background2"/>
        <w:right w:val="single" w:sz="4" w:space="6" w:color="0099C3" w:themeColor="background2"/>
      </w:pBdr>
      <w:ind w:left="709" w:right="142"/>
    </w:pPr>
  </w:style>
  <w:style w:type="paragraph" w:customStyle="1" w:styleId="Boxtextheading">
    <w:name w:val="Box text heading"/>
    <w:basedOn w:val="Boxtext"/>
    <w:uiPriority w:val="16"/>
    <w:qFormat/>
    <w:rsid w:val="00F33243"/>
    <w:rPr>
      <w:b/>
    </w:rPr>
  </w:style>
  <w:style w:type="paragraph" w:customStyle="1" w:styleId="Extract">
    <w:name w:val="Extract"/>
    <w:basedOn w:val="Body"/>
    <w:uiPriority w:val="20"/>
    <w:qFormat/>
    <w:rsid w:val="004F43DF"/>
    <w:pPr>
      <w:ind w:left="567"/>
      <w:contextualSpacing/>
    </w:pPr>
  </w:style>
  <w:style w:type="paragraph" w:customStyle="1" w:styleId="Source">
    <w:name w:val="Source"/>
    <w:basedOn w:val="Body"/>
    <w:uiPriority w:val="20"/>
    <w:qFormat/>
    <w:rsid w:val="004F43DF"/>
    <w:pPr>
      <w:contextualSpacing/>
      <w:jc w:val="right"/>
    </w:pPr>
    <w:rPr>
      <w:b/>
    </w:rPr>
  </w:style>
  <w:style w:type="table" w:customStyle="1" w:styleId="ECTablewithborders">
    <w:name w:val="EC Table with borders"/>
    <w:basedOn w:val="TableNormal"/>
    <w:uiPriority w:val="99"/>
    <w:rsid w:val="008A0201"/>
    <w:pPr>
      <w:spacing w:before="120" w:after="120" w:line="288" w:lineRule="atLeast"/>
    </w:pPr>
    <w:tblPr>
      <w:tblBorders>
        <w:bottom w:val="single" w:sz="8" w:space="0" w:color="0099C3" w:themeColor="background2"/>
        <w:insideH w:val="dotted" w:sz="4" w:space="0" w:color="0099C3" w:themeColor="background2"/>
      </w:tblBorders>
      <w:tblCellMar>
        <w:left w:w="57" w:type="dxa"/>
        <w:right w:w="57" w:type="dxa"/>
      </w:tblCellMar>
    </w:tblPr>
    <w:tblStylePr w:type="firstRow">
      <w:rPr>
        <w:color w:val="0099C3" w:themeColor="background2"/>
      </w:rPr>
      <w:tblPr/>
      <w:tcPr>
        <w:tcBorders>
          <w:top w:val="nil"/>
          <w:left w:val="nil"/>
          <w:bottom w:val="single" w:sz="8" w:space="0" w:color="0099C3" w:themeColor="background2"/>
          <w:right w:val="nil"/>
          <w:insideH w:val="nil"/>
          <w:insideV w:val="nil"/>
          <w:tl2br w:val="nil"/>
          <w:tr2bl w:val="nil"/>
        </w:tcBorders>
        <w:vAlign w:val="bottom"/>
      </w:tcPr>
    </w:tblStylePr>
  </w:style>
  <w:style w:type="paragraph" w:customStyle="1" w:styleId="TableBody">
    <w:name w:val="Table Body"/>
    <w:basedOn w:val="Body"/>
    <w:uiPriority w:val="11"/>
    <w:qFormat/>
    <w:rsid w:val="00243A5C"/>
    <w:pPr>
      <w:spacing w:before="120" w:after="120"/>
    </w:pPr>
  </w:style>
  <w:style w:type="paragraph" w:customStyle="1" w:styleId="Tablecolumnheading">
    <w:name w:val="Table column heading"/>
    <w:basedOn w:val="TableBody"/>
    <w:uiPriority w:val="10"/>
    <w:qFormat/>
    <w:rsid w:val="00F33243"/>
    <w:rPr>
      <w:b/>
      <w:color w:val="0099C3" w:themeColor="background2"/>
    </w:rPr>
  </w:style>
  <w:style w:type="paragraph" w:customStyle="1" w:styleId="Nospacebody">
    <w:name w:val="No space body"/>
    <w:basedOn w:val="Body"/>
    <w:uiPriority w:val="6"/>
    <w:qFormat/>
    <w:rsid w:val="001E5AE6"/>
    <w:pPr>
      <w:spacing w:before="0" w:after="0"/>
    </w:pPr>
  </w:style>
  <w:style w:type="table" w:customStyle="1" w:styleId="ECTablenoborders">
    <w:name w:val="EC Table no borders"/>
    <w:basedOn w:val="ECTablewithborders"/>
    <w:uiPriority w:val="99"/>
    <w:rsid w:val="008A5DB3"/>
    <w:tblPr>
      <w:tblBorders>
        <w:bottom w:val="none" w:sz="0" w:space="0" w:color="auto"/>
        <w:insideH w:val="none" w:sz="0" w:space="0" w:color="auto"/>
      </w:tblBorders>
    </w:tblPr>
    <w:tblStylePr w:type="firstRow">
      <w:rPr>
        <w:color w:val="0099C3" w:themeColor="background2"/>
      </w:rPr>
      <w:tblPr/>
      <w:tcPr>
        <w:tcBorders>
          <w:top w:val="nil"/>
          <w:left w:val="nil"/>
          <w:bottom w:val="nil"/>
          <w:right w:val="nil"/>
          <w:insideH w:val="nil"/>
          <w:insideV w:val="nil"/>
          <w:tl2br w:val="nil"/>
          <w:tr2bl w:val="nil"/>
        </w:tcBorders>
        <w:vAlign w:val="bottom"/>
      </w:tcPr>
    </w:tblStylePr>
  </w:style>
  <w:style w:type="paragraph" w:customStyle="1" w:styleId="Charttitle">
    <w:name w:val="Chart title"/>
    <w:basedOn w:val="C-head"/>
    <w:next w:val="Charttext"/>
    <w:uiPriority w:val="19"/>
    <w:qFormat/>
    <w:rsid w:val="00633C01"/>
    <w:pPr>
      <w:pBdr>
        <w:top w:val="single" w:sz="4" w:space="6" w:color="0099C3" w:themeColor="background2"/>
        <w:left w:val="single" w:sz="4" w:space="6" w:color="0099C3" w:themeColor="background2"/>
        <w:bottom w:val="single" w:sz="4" w:space="6" w:color="0099C3" w:themeColor="background2"/>
        <w:right w:val="single" w:sz="4" w:space="6" w:color="0099C3" w:themeColor="background2"/>
      </w:pBdr>
      <w:spacing w:line="288" w:lineRule="atLeast"/>
      <w:ind w:left="142" w:right="142"/>
    </w:pPr>
  </w:style>
  <w:style w:type="paragraph" w:customStyle="1" w:styleId="Charttext">
    <w:name w:val="Chart text"/>
    <w:basedOn w:val="Charttitle"/>
    <w:uiPriority w:val="20"/>
    <w:qFormat/>
    <w:rsid w:val="008F3933"/>
    <w:rPr>
      <w:b w:val="0"/>
    </w:rPr>
  </w:style>
  <w:style w:type="paragraph" w:customStyle="1" w:styleId="Chapterhead">
    <w:name w:val="Chapter head"/>
    <w:basedOn w:val="Chapterheadnumber"/>
    <w:next w:val="Body"/>
    <w:uiPriority w:val="3"/>
    <w:qFormat/>
    <w:rsid w:val="001E4FA3"/>
    <w:pPr>
      <w:numPr>
        <w:numId w:val="0"/>
      </w:numPr>
    </w:pPr>
  </w:style>
  <w:style w:type="paragraph" w:customStyle="1" w:styleId="Appendixhead">
    <w:name w:val="Appendix head"/>
    <w:basedOn w:val="Appendixheadnumber"/>
    <w:next w:val="Body"/>
    <w:uiPriority w:val="29"/>
    <w:qFormat/>
    <w:rsid w:val="004073DA"/>
    <w:pPr>
      <w:numPr>
        <w:numId w:val="0"/>
      </w:numPr>
    </w:pPr>
  </w:style>
  <w:style w:type="paragraph" w:customStyle="1" w:styleId="Numberedbody">
    <w:name w:val="Numbered body"/>
    <w:basedOn w:val="Body"/>
    <w:uiPriority w:val="8"/>
    <w:qFormat/>
    <w:rsid w:val="00081DF8"/>
    <w:pPr>
      <w:numPr>
        <w:numId w:val="7"/>
      </w:numPr>
      <w:tabs>
        <w:tab w:val="clear" w:pos="709"/>
        <w:tab w:val="num" w:pos="567"/>
      </w:tabs>
      <w:spacing w:before="120" w:after="120"/>
      <w:ind w:left="567"/>
    </w:pPr>
  </w:style>
  <w:style w:type="paragraph" w:customStyle="1" w:styleId="Addressfooter">
    <w:name w:val="Address footer"/>
    <w:basedOn w:val="Normal"/>
    <w:uiPriority w:val="29"/>
    <w:rsid w:val="00633C01"/>
    <w:pPr>
      <w:spacing w:before="120" w:after="0" w:line="240" w:lineRule="auto"/>
      <w:contextualSpacing/>
    </w:pPr>
    <w:rPr>
      <w:sz w:val="18"/>
      <w:szCs w:val="18"/>
    </w:rPr>
  </w:style>
  <w:style w:type="paragraph" w:customStyle="1" w:styleId="Addressheader">
    <w:name w:val="Address header"/>
    <w:basedOn w:val="Body"/>
    <w:uiPriority w:val="29"/>
    <w:rsid w:val="00926872"/>
    <w:pPr>
      <w:spacing w:before="0" w:after="0" w:line="240" w:lineRule="auto"/>
      <w:contextualSpacing/>
      <w:jc w:val="right"/>
    </w:pPr>
    <w:rPr>
      <w:sz w:val="18"/>
      <w:szCs w:val="18"/>
    </w:rPr>
  </w:style>
  <w:style w:type="paragraph" w:customStyle="1" w:styleId="Contactheader">
    <w:name w:val="Contact header"/>
    <w:basedOn w:val="Addressheader"/>
    <w:uiPriority w:val="29"/>
    <w:rsid w:val="00926872"/>
    <w:pPr>
      <w:spacing w:before="120" w:after="60"/>
    </w:pPr>
  </w:style>
  <w:style w:type="numbering" w:customStyle="1" w:styleId="ECBullets">
    <w:name w:val="EC Bullets"/>
    <w:uiPriority w:val="99"/>
    <w:rsid w:val="008B3C03"/>
    <w:pPr>
      <w:numPr>
        <w:numId w:val="6"/>
      </w:numPr>
    </w:pPr>
  </w:style>
  <w:style w:type="numbering" w:customStyle="1" w:styleId="ECNumbered">
    <w:name w:val="EC Numbered"/>
    <w:uiPriority w:val="99"/>
    <w:rsid w:val="00510BA9"/>
    <w:pPr>
      <w:numPr>
        <w:numId w:val="7"/>
      </w:numPr>
    </w:pPr>
  </w:style>
  <w:style w:type="character" w:customStyle="1" w:styleId="Heading4Char">
    <w:name w:val="Heading 4 Char"/>
    <w:basedOn w:val="DefaultParagraphFont"/>
    <w:link w:val="Heading4"/>
    <w:uiPriority w:val="30"/>
    <w:semiHidden/>
    <w:rsid w:val="00633C01"/>
    <w:rPr>
      <w:rFonts w:asciiTheme="majorHAnsi" w:eastAsiaTheme="majorEastAsia" w:hAnsiTheme="majorHAnsi" w:cstheme="majorBidi"/>
      <w:i/>
      <w:iCs/>
      <w:color w:val="003057" w:themeColor="text1"/>
    </w:rPr>
  </w:style>
  <w:style w:type="character" w:customStyle="1" w:styleId="Heading5Char">
    <w:name w:val="Heading 5 Char"/>
    <w:basedOn w:val="DefaultParagraphFont"/>
    <w:link w:val="Heading5"/>
    <w:uiPriority w:val="30"/>
    <w:semiHidden/>
    <w:rsid w:val="00633C01"/>
    <w:rPr>
      <w:rFonts w:asciiTheme="majorHAnsi" w:eastAsiaTheme="majorEastAsia" w:hAnsiTheme="majorHAnsi" w:cstheme="majorBidi"/>
      <w:color w:val="003057" w:themeColor="text1"/>
    </w:rPr>
  </w:style>
  <w:style w:type="paragraph" w:customStyle="1" w:styleId="Logo">
    <w:name w:val="Logo"/>
    <w:uiPriority w:val="29"/>
    <w:semiHidden/>
    <w:unhideWhenUsed/>
    <w:qFormat/>
    <w:rsid w:val="00354A41"/>
    <w:pPr>
      <w:spacing w:after="0" w:line="240" w:lineRule="auto"/>
    </w:pPr>
    <w:rPr>
      <w:noProof/>
      <w:sz w:val="16"/>
    </w:rPr>
  </w:style>
  <w:style w:type="paragraph" w:styleId="BalloonText">
    <w:name w:val="Balloon Text"/>
    <w:basedOn w:val="Normal"/>
    <w:link w:val="BalloonTextChar"/>
    <w:uiPriority w:val="99"/>
    <w:semiHidden/>
    <w:unhideWhenUsed/>
    <w:rsid w:val="007406D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406D4"/>
    <w:rPr>
      <w:rFonts w:ascii="Segoe UI" w:hAnsi="Segoe UI" w:cs="Segoe UI"/>
      <w:color w:val="003057" w:themeColor="text1"/>
      <w:sz w:val="18"/>
      <w:szCs w:val="18"/>
    </w:rPr>
  </w:style>
  <w:style w:type="paragraph" w:styleId="Bibliography">
    <w:name w:val="Bibliography"/>
    <w:basedOn w:val="Normal"/>
    <w:next w:val="Normal"/>
    <w:uiPriority w:val="47"/>
    <w:semiHidden/>
    <w:unhideWhenUsed/>
    <w:rsid w:val="007406D4"/>
  </w:style>
  <w:style w:type="paragraph" w:styleId="BlockText">
    <w:name w:val="Block Text"/>
    <w:basedOn w:val="Normal"/>
    <w:uiPriority w:val="99"/>
    <w:semiHidden/>
    <w:unhideWhenUsed/>
    <w:rsid w:val="007406D4"/>
    <w:pPr>
      <w:pBdr>
        <w:top w:val="single" w:sz="2" w:space="10" w:color="003057" w:themeColor="accent1"/>
        <w:left w:val="single" w:sz="2" w:space="10" w:color="003057" w:themeColor="accent1"/>
        <w:bottom w:val="single" w:sz="2" w:space="10" w:color="003057" w:themeColor="accent1"/>
        <w:right w:val="single" w:sz="2" w:space="10" w:color="003057" w:themeColor="accent1"/>
      </w:pBdr>
      <w:ind w:left="1152" w:right="1152"/>
    </w:pPr>
    <w:rPr>
      <w:rFonts w:asciiTheme="minorHAnsi" w:eastAsiaTheme="minorEastAsia" w:hAnsiTheme="minorHAnsi"/>
      <w:i/>
      <w:iCs/>
      <w:color w:val="003057" w:themeColor="accent1"/>
    </w:rPr>
  </w:style>
  <w:style w:type="paragraph" w:styleId="BodyText">
    <w:name w:val="Body Text"/>
    <w:basedOn w:val="Normal"/>
    <w:link w:val="BodyTextChar"/>
    <w:uiPriority w:val="99"/>
    <w:semiHidden/>
    <w:unhideWhenUsed/>
    <w:rsid w:val="007406D4"/>
    <w:pPr>
      <w:spacing w:after="120"/>
    </w:pPr>
  </w:style>
  <w:style w:type="character" w:customStyle="1" w:styleId="BodyTextChar">
    <w:name w:val="Body Text Char"/>
    <w:basedOn w:val="DefaultParagraphFont"/>
    <w:link w:val="BodyText"/>
    <w:uiPriority w:val="99"/>
    <w:semiHidden/>
    <w:rsid w:val="007406D4"/>
    <w:rPr>
      <w:color w:val="003057" w:themeColor="text1"/>
    </w:rPr>
  </w:style>
  <w:style w:type="paragraph" w:styleId="BodyText2">
    <w:name w:val="Body Text 2"/>
    <w:basedOn w:val="Normal"/>
    <w:link w:val="BodyText2Char"/>
    <w:uiPriority w:val="99"/>
    <w:semiHidden/>
    <w:unhideWhenUsed/>
    <w:rsid w:val="007406D4"/>
    <w:pPr>
      <w:spacing w:after="120" w:line="480" w:lineRule="auto"/>
    </w:pPr>
  </w:style>
  <w:style w:type="character" w:customStyle="1" w:styleId="BodyText2Char">
    <w:name w:val="Body Text 2 Char"/>
    <w:basedOn w:val="DefaultParagraphFont"/>
    <w:link w:val="BodyText2"/>
    <w:uiPriority w:val="99"/>
    <w:semiHidden/>
    <w:rsid w:val="007406D4"/>
    <w:rPr>
      <w:color w:val="003057" w:themeColor="text1"/>
    </w:rPr>
  </w:style>
  <w:style w:type="paragraph" w:styleId="BodyText3">
    <w:name w:val="Body Text 3"/>
    <w:basedOn w:val="Normal"/>
    <w:link w:val="BodyText3Char"/>
    <w:uiPriority w:val="99"/>
    <w:semiHidden/>
    <w:unhideWhenUsed/>
    <w:rsid w:val="007406D4"/>
    <w:pPr>
      <w:spacing w:after="120"/>
    </w:pPr>
    <w:rPr>
      <w:sz w:val="16"/>
      <w:szCs w:val="16"/>
    </w:rPr>
  </w:style>
  <w:style w:type="character" w:customStyle="1" w:styleId="BodyText3Char">
    <w:name w:val="Body Text 3 Char"/>
    <w:basedOn w:val="DefaultParagraphFont"/>
    <w:link w:val="BodyText3"/>
    <w:uiPriority w:val="99"/>
    <w:semiHidden/>
    <w:rsid w:val="007406D4"/>
    <w:rPr>
      <w:color w:val="003057" w:themeColor="text1"/>
      <w:sz w:val="16"/>
      <w:szCs w:val="16"/>
    </w:rPr>
  </w:style>
  <w:style w:type="paragraph" w:styleId="BodyTextFirstIndent">
    <w:name w:val="Body Text First Indent"/>
    <w:basedOn w:val="BodyText"/>
    <w:link w:val="BodyTextFirstIndentChar"/>
    <w:uiPriority w:val="99"/>
    <w:semiHidden/>
    <w:unhideWhenUsed/>
    <w:rsid w:val="007406D4"/>
    <w:pPr>
      <w:spacing w:after="240"/>
      <w:ind w:firstLine="360"/>
    </w:pPr>
  </w:style>
  <w:style w:type="character" w:customStyle="1" w:styleId="BodyTextFirstIndentChar">
    <w:name w:val="Body Text First Indent Char"/>
    <w:basedOn w:val="BodyTextChar"/>
    <w:link w:val="BodyTextFirstIndent"/>
    <w:uiPriority w:val="99"/>
    <w:semiHidden/>
    <w:rsid w:val="007406D4"/>
    <w:rPr>
      <w:color w:val="003057" w:themeColor="text1"/>
    </w:rPr>
  </w:style>
  <w:style w:type="paragraph" w:styleId="BodyTextIndent">
    <w:name w:val="Body Text Indent"/>
    <w:basedOn w:val="Normal"/>
    <w:link w:val="BodyTextIndentChar"/>
    <w:uiPriority w:val="99"/>
    <w:semiHidden/>
    <w:unhideWhenUsed/>
    <w:rsid w:val="007406D4"/>
    <w:pPr>
      <w:spacing w:after="120"/>
      <w:ind w:left="283"/>
    </w:pPr>
  </w:style>
  <w:style w:type="character" w:customStyle="1" w:styleId="BodyTextIndentChar">
    <w:name w:val="Body Text Indent Char"/>
    <w:basedOn w:val="DefaultParagraphFont"/>
    <w:link w:val="BodyTextIndent"/>
    <w:uiPriority w:val="99"/>
    <w:semiHidden/>
    <w:rsid w:val="007406D4"/>
    <w:rPr>
      <w:color w:val="003057" w:themeColor="text1"/>
    </w:rPr>
  </w:style>
  <w:style w:type="paragraph" w:styleId="BodyTextFirstIndent2">
    <w:name w:val="Body Text First Indent 2"/>
    <w:basedOn w:val="BodyTextIndent"/>
    <w:link w:val="BodyTextFirstIndent2Char"/>
    <w:uiPriority w:val="99"/>
    <w:semiHidden/>
    <w:unhideWhenUsed/>
    <w:rsid w:val="007406D4"/>
    <w:pPr>
      <w:spacing w:after="240"/>
      <w:ind w:left="360" w:firstLine="360"/>
    </w:pPr>
  </w:style>
  <w:style w:type="character" w:customStyle="1" w:styleId="BodyTextFirstIndent2Char">
    <w:name w:val="Body Text First Indent 2 Char"/>
    <w:basedOn w:val="BodyTextIndentChar"/>
    <w:link w:val="BodyTextFirstIndent2"/>
    <w:uiPriority w:val="99"/>
    <w:semiHidden/>
    <w:rsid w:val="007406D4"/>
    <w:rPr>
      <w:color w:val="003057" w:themeColor="text1"/>
    </w:rPr>
  </w:style>
  <w:style w:type="paragraph" w:styleId="BodyTextIndent2">
    <w:name w:val="Body Text Indent 2"/>
    <w:basedOn w:val="Normal"/>
    <w:link w:val="BodyTextIndent2Char"/>
    <w:uiPriority w:val="99"/>
    <w:semiHidden/>
    <w:unhideWhenUsed/>
    <w:rsid w:val="007406D4"/>
    <w:pPr>
      <w:spacing w:after="120" w:line="480" w:lineRule="auto"/>
      <w:ind w:left="283"/>
    </w:pPr>
  </w:style>
  <w:style w:type="character" w:customStyle="1" w:styleId="BodyTextIndent2Char">
    <w:name w:val="Body Text Indent 2 Char"/>
    <w:basedOn w:val="DefaultParagraphFont"/>
    <w:link w:val="BodyTextIndent2"/>
    <w:uiPriority w:val="99"/>
    <w:semiHidden/>
    <w:rsid w:val="007406D4"/>
    <w:rPr>
      <w:color w:val="003057" w:themeColor="text1"/>
    </w:rPr>
  </w:style>
  <w:style w:type="paragraph" w:styleId="BodyTextIndent3">
    <w:name w:val="Body Text Indent 3"/>
    <w:basedOn w:val="Normal"/>
    <w:link w:val="BodyTextIndent3Char"/>
    <w:uiPriority w:val="99"/>
    <w:semiHidden/>
    <w:unhideWhenUsed/>
    <w:rsid w:val="007406D4"/>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7406D4"/>
    <w:rPr>
      <w:color w:val="003057" w:themeColor="text1"/>
      <w:sz w:val="16"/>
      <w:szCs w:val="16"/>
    </w:rPr>
  </w:style>
  <w:style w:type="paragraph" w:styleId="Caption">
    <w:name w:val="caption"/>
    <w:basedOn w:val="Normal"/>
    <w:next w:val="Normal"/>
    <w:uiPriority w:val="45"/>
    <w:semiHidden/>
    <w:unhideWhenUsed/>
    <w:qFormat/>
    <w:rsid w:val="00633C01"/>
    <w:pPr>
      <w:spacing w:after="200" w:line="240" w:lineRule="auto"/>
    </w:pPr>
    <w:rPr>
      <w:i/>
      <w:iCs/>
      <w:sz w:val="18"/>
      <w:szCs w:val="18"/>
    </w:rPr>
  </w:style>
  <w:style w:type="paragraph" w:styleId="Closing">
    <w:name w:val="Closing"/>
    <w:basedOn w:val="Normal"/>
    <w:link w:val="ClosingChar"/>
    <w:uiPriority w:val="99"/>
    <w:semiHidden/>
    <w:unhideWhenUsed/>
    <w:rsid w:val="007406D4"/>
    <w:pPr>
      <w:spacing w:after="0" w:line="240" w:lineRule="auto"/>
      <w:ind w:left="4252"/>
    </w:pPr>
  </w:style>
  <w:style w:type="character" w:customStyle="1" w:styleId="ClosingChar">
    <w:name w:val="Closing Char"/>
    <w:basedOn w:val="DefaultParagraphFont"/>
    <w:link w:val="Closing"/>
    <w:uiPriority w:val="99"/>
    <w:semiHidden/>
    <w:rsid w:val="007406D4"/>
    <w:rPr>
      <w:color w:val="003057" w:themeColor="text1"/>
    </w:rPr>
  </w:style>
  <w:style w:type="paragraph" w:styleId="CommentText">
    <w:name w:val="annotation text"/>
    <w:basedOn w:val="Normal"/>
    <w:link w:val="CommentTextChar"/>
    <w:uiPriority w:val="99"/>
    <w:semiHidden/>
    <w:unhideWhenUsed/>
    <w:rsid w:val="007406D4"/>
    <w:pPr>
      <w:spacing w:line="240" w:lineRule="auto"/>
    </w:pPr>
    <w:rPr>
      <w:sz w:val="20"/>
      <w:szCs w:val="20"/>
    </w:rPr>
  </w:style>
  <w:style w:type="character" w:customStyle="1" w:styleId="CommentTextChar">
    <w:name w:val="Comment Text Char"/>
    <w:basedOn w:val="DefaultParagraphFont"/>
    <w:link w:val="CommentText"/>
    <w:uiPriority w:val="99"/>
    <w:semiHidden/>
    <w:rsid w:val="007406D4"/>
    <w:rPr>
      <w:color w:val="003057" w:themeColor="text1"/>
      <w:sz w:val="20"/>
      <w:szCs w:val="20"/>
    </w:rPr>
  </w:style>
  <w:style w:type="paragraph" w:styleId="CommentSubject">
    <w:name w:val="annotation subject"/>
    <w:basedOn w:val="CommentText"/>
    <w:next w:val="CommentText"/>
    <w:link w:val="CommentSubjectChar"/>
    <w:uiPriority w:val="99"/>
    <w:semiHidden/>
    <w:unhideWhenUsed/>
    <w:rsid w:val="007406D4"/>
    <w:rPr>
      <w:b/>
      <w:bCs/>
    </w:rPr>
  </w:style>
  <w:style w:type="character" w:customStyle="1" w:styleId="CommentSubjectChar">
    <w:name w:val="Comment Subject Char"/>
    <w:basedOn w:val="CommentTextChar"/>
    <w:link w:val="CommentSubject"/>
    <w:uiPriority w:val="99"/>
    <w:semiHidden/>
    <w:rsid w:val="007406D4"/>
    <w:rPr>
      <w:b/>
      <w:bCs/>
      <w:color w:val="003057" w:themeColor="text1"/>
      <w:sz w:val="20"/>
      <w:szCs w:val="20"/>
    </w:rPr>
  </w:style>
  <w:style w:type="paragraph" w:styleId="DocumentMap">
    <w:name w:val="Document Map"/>
    <w:basedOn w:val="Normal"/>
    <w:link w:val="DocumentMapChar"/>
    <w:uiPriority w:val="99"/>
    <w:semiHidden/>
    <w:unhideWhenUsed/>
    <w:rsid w:val="007406D4"/>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7406D4"/>
    <w:rPr>
      <w:rFonts w:ascii="Segoe UI" w:hAnsi="Segoe UI" w:cs="Segoe UI"/>
      <w:color w:val="003057" w:themeColor="text1"/>
      <w:sz w:val="16"/>
      <w:szCs w:val="16"/>
    </w:rPr>
  </w:style>
  <w:style w:type="paragraph" w:styleId="E-mailSignature">
    <w:name w:val="E-mail Signature"/>
    <w:basedOn w:val="Normal"/>
    <w:link w:val="E-mailSignatureChar"/>
    <w:uiPriority w:val="99"/>
    <w:semiHidden/>
    <w:unhideWhenUsed/>
    <w:rsid w:val="007406D4"/>
    <w:pPr>
      <w:spacing w:after="0" w:line="240" w:lineRule="auto"/>
    </w:pPr>
  </w:style>
  <w:style w:type="character" w:customStyle="1" w:styleId="E-mailSignatureChar">
    <w:name w:val="E-mail Signature Char"/>
    <w:basedOn w:val="DefaultParagraphFont"/>
    <w:link w:val="E-mailSignature"/>
    <w:uiPriority w:val="99"/>
    <w:semiHidden/>
    <w:rsid w:val="007406D4"/>
    <w:rPr>
      <w:color w:val="003057" w:themeColor="text1"/>
    </w:rPr>
  </w:style>
  <w:style w:type="paragraph" w:styleId="EndnoteText">
    <w:name w:val="endnote text"/>
    <w:basedOn w:val="Normal"/>
    <w:link w:val="EndnoteTextChar"/>
    <w:uiPriority w:val="99"/>
    <w:semiHidden/>
    <w:unhideWhenUsed/>
    <w:rsid w:val="007406D4"/>
    <w:pPr>
      <w:spacing w:after="0" w:line="240" w:lineRule="auto"/>
    </w:pPr>
    <w:rPr>
      <w:sz w:val="20"/>
      <w:szCs w:val="20"/>
    </w:rPr>
  </w:style>
  <w:style w:type="character" w:customStyle="1" w:styleId="EndnoteTextChar">
    <w:name w:val="Endnote Text Char"/>
    <w:basedOn w:val="DefaultParagraphFont"/>
    <w:link w:val="EndnoteText"/>
    <w:uiPriority w:val="99"/>
    <w:semiHidden/>
    <w:rsid w:val="007406D4"/>
    <w:rPr>
      <w:color w:val="003057" w:themeColor="text1"/>
      <w:sz w:val="20"/>
      <w:szCs w:val="20"/>
    </w:rPr>
  </w:style>
  <w:style w:type="paragraph" w:styleId="EnvelopeAddress">
    <w:name w:val="envelope address"/>
    <w:basedOn w:val="Normal"/>
    <w:uiPriority w:val="99"/>
    <w:semiHidden/>
    <w:unhideWhenUsed/>
    <w:rsid w:val="007406D4"/>
    <w:pPr>
      <w:framePr w:w="7920" w:h="1980" w:hRule="exact" w:hSpace="180" w:wrap="auto" w:hAnchor="page" w:xAlign="center" w:yAlign="bottom"/>
      <w:spacing w:after="0" w:line="240" w:lineRule="auto"/>
      <w:ind w:left="2880"/>
    </w:pPr>
    <w:rPr>
      <w:rFonts w:asciiTheme="majorHAnsi" w:eastAsiaTheme="majorEastAsia" w:hAnsiTheme="majorHAnsi" w:cstheme="majorBidi"/>
    </w:rPr>
  </w:style>
  <w:style w:type="paragraph" w:styleId="EnvelopeReturn">
    <w:name w:val="envelope return"/>
    <w:basedOn w:val="Normal"/>
    <w:uiPriority w:val="99"/>
    <w:semiHidden/>
    <w:unhideWhenUsed/>
    <w:rsid w:val="007406D4"/>
    <w:pPr>
      <w:spacing w:after="0" w:line="240" w:lineRule="auto"/>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7406D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406D4"/>
    <w:rPr>
      <w:color w:val="003057" w:themeColor="text1"/>
      <w:sz w:val="20"/>
      <w:szCs w:val="20"/>
    </w:rPr>
  </w:style>
  <w:style w:type="character" w:customStyle="1" w:styleId="Heading6Char">
    <w:name w:val="Heading 6 Char"/>
    <w:basedOn w:val="DefaultParagraphFont"/>
    <w:link w:val="Heading6"/>
    <w:uiPriority w:val="30"/>
    <w:semiHidden/>
    <w:rsid w:val="00633C01"/>
    <w:rPr>
      <w:rFonts w:asciiTheme="majorHAnsi" w:eastAsiaTheme="majorEastAsia" w:hAnsiTheme="majorHAnsi" w:cstheme="majorBidi"/>
      <w:color w:val="003057" w:themeColor="text1"/>
    </w:rPr>
  </w:style>
  <w:style w:type="character" w:customStyle="1" w:styleId="Heading7Char">
    <w:name w:val="Heading 7 Char"/>
    <w:basedOn w:val="DefaultParagraphFont"/>
    <w:link w:val="Heading7"/>
    <w:uiPriority w:val="30"/>
    <w:semiHidden/>
    <w:rsid w:val="00633C01"/>
    <w:rPr>
      <w:rFonts w:asciiTheme="majorHAnsi" w:eastAsiaTheme="majorEastAsia" w:hAnsiTheme="majorHAnsi" w:cstheme="majorBidi"/>
      <w:i/>
      <w:iCs/>
      <w:color w:val="003057" w:themeColor="text1"/>
    </w:rPr>
  </w:style>
  <w:style w:type="character" w:customStyle="1" w:styleId="Heading8Char">
    <w:name w:val="Heading 8 Char"/>
    <w:basedOn w:val="DefaultParagraphFont"/>
    <w:link w:val="Heading8"/>
    <w:uiPriority w:val="30"/>
    <w:semiHidden/>
    <w:rsid w:val="00F33243"/>
    <w:rPr>
      <w:rFonts w:asciiTheme="majorHAnsi" w:eastAsiaTheme="majorEastAsia" w:hAnsiTheme="majorHAnsi" w:cstheme="majorBidi"/>
      <w:color w:val="0099C3" w:themeColor="background2"/>
      <w:sz w:val="21"/>
      <w:szCs w:val="21"/>
    </w:rPr>
  </w:style>
  <w:style w:type="character" w:customStyle="1" w:styleId="Heading9Char">
    <w:name w:val="Heading 9 Char"/>
    <w:basedOn w:val="DefaultParagraphFont"/>
    <w:link w:val="Heading9"/>
    <w:uiPriority w:val="30"/>
    <w:semiHidden/>
    <w:rsid w:val="00F33243"/>
    <w:rPr>
      <w:rFonts w:asciiTheme="majorHAnsi" w:eastAsiaTheme="majorEastAsia" w:hAnsiTheme="majorHAnsi" w:cstheme="majorBidi"/>
      <w:i/>
      <w:iCs/>
      <w:color w:val="0099C3" w:themeColor="background2"/>
      <w:sz w:val="21"/>
      <w:szCs w:val="21"/>
    </w:rPr>
  </w:style>
  <w:style w:type="paragraph" w:styleId="HTMLAddress">
    <w:name w:val="HTML Address"/>
    <w:basedOn w:val="Normal"/>
    <w:link w:val="HTMLAddressChar"/>
    <w:uiPriority w:val="99"/>
    <w:semiHidden/>
    <w:unhideWhenUsed/>
    <w:rsid w:val="007406D4"/>
    <w:pPr>
      <w:spacing w:after="0" w:line="240" w:lineRule="auto"/>
    </w:pPr>
    <w:rPr>
      <w:i/>
      <w:iCs/>
    </w:rPr>
  </w:style>
  <w:style w:type="character" w:customStyle="1" w:styleId="HTMLAddressChar">
    <w:name w:val="HTML Address Char"/>
    <w:basedOn w:val="DefaultParagraphFont"/>
    <w:link w:val="HTMLAddress"/>
    <w:uiPriority w:val="99"/>
    <w:semiHidden/>
    <w:rsid w:val="007406D4"/>
    <w:rPr>
      <w:i/>
      <w:iCs/>
      <w:color w:val="003057" w:themeColor="text1"/>
    </w:rPr>
  </w:style>
  <w:style w:type="paragraph" w:styleId="HTMLPreformatted">
    <w:name w:val="HTML Preformatted"/>
    <w:basedOn w:val="Normal"/>
    <w:link w:val="HTMLPreformattedChar"/>
    <w:uiPriority w:val="99"/>
    <w:semiHidden/>
    <w:unhideWhenUsed/>
    <w:rsid w:val="007406D4"/>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7406D4"/>
    <w:rPr>
      <w:rFonts w:ascii="Consolas" w:hAnsi="Consolas"/>
      <w:color w:val="003057" w:themeColor="text1"/>
      <w:sz w:val="20"/>
      <w:szCs w:val="20"/>
    </w:rPr>
  </w:style>
  <w:style w:type="paragraph" w:styleId="Index1">
    <w:name w:val="index 1"/>
    <w:basedOn w:val="Normal"/>
    <w:next w:val="Normal"/>
    <w:autoRedefine/>
    <w:uiPriority w:val="99"/>
    <w:semiHidden/>
    <w:unhideWhenUsed/>
    <w:rsid w:val="007406D4"/>
    <w:pPr>
      <w:spacing w:after="0" w:line="240" w:lineRule="auto"/>
      <w:ind w:left="240" w:hanging="240"/>
    </w:pPr>
  </w:style>
  <w:style w:type="paragraph" w:styleId="Index2">
    <w:name w:val="index 2"/>
    <w:basedOn w:val="Normal"/>
    <w:next w:val="Normal"/>
    <w:autoRedefine/>
    <w:uiPriority w:val="99"/>
    <w:semiHidden/>
    <w:unhideWhenUsed/>
    <w:rsid w:val="007406D4"/>
    <w:pPr>
      <w:spacing w:after="0" w:line="240" w:lineRule="auto"/>
      <w:ind w:left="480" w:hanging="240"/>
    </w:pPr>
  </w:style>
  <w:style w:type="paragraph" w:styleId="Index3">
    <w:name w:val="index 3"/>
    <w:basedOn w:val="Normal"/>
    <w:next w:val="Normal"/>
    <w:autoRedefine/>
    <w:uiPriority w:val="99"/>
    <w:semiHidden/>
    <w:unhideWhenUsed/>
    <w:rsid w:val="007406D4"/>
    <w:pPr>
      <w:spacing w:after="0" w:line="240" w:lineRule="auto"/>
      <w:ind w:left="720" w:hanging="240"/>
    </w:pPr>
  </w:style>
  <w:style w:type="paragraph" w:styleId="Index4">
    <w:name w:val="index 4"/>
    <w:basedOn w:val="Normal"/>
    <w:next w:val="Normal"/>
    <w:autoRedefine/>
    <w:uiPriority w:val="99"/>
    <w:semiHidden/>
    <w:unhideWhenUsed/>
    <w:rsid w:val="007406D4"/>
    <w:pPr>
      <w:spacing w:after="0" w:line="240" w:lineRule="auto"/>
      <w:ind w:left="960" w:hanging="240"/>
    </w:pPr>
  </w:style>
  <w:style w:type="paragraph" w:styleId="Index5">
    <w:name w:val="index 5"/>
    <w:basedOn w:val="Normal"/>
    <w:next w:val="Normal"/>
    <w:autoRedefine/>
    <w:uiPriority w:val="99"/>
    <w:semiHidden/>
    <w:unhideWhenUsed/>
    <w:rsid w:val="007406D4"/>
    <w:pPr>
      <w:spacing w:after="0" w:line="240" w:lineRule="auto"/>
      <w:ind w:left="1200" w:hanging="240"/>
    </w:pPr>
  </w:style>
  <w:style w:type="paragraph" w:styleId="Index6">
    <w:name w:val="index 6"/>
    <w:basedOn w:val="Normal"/>
    <w:next w:val="Normal"/>
    <w:autoRedefine/>
    <w:uiPriority w:val="99"/>
    <w:semiHidden/>
    <w:unhideWhenUsed/>
    <w:rsid w:val="007406D4"/>
    <w:pPr>
      <w:spacing w:after="0" w:line="240" w:lineRule="auto"/>
      <w:ind w:left="1440" w:hanging="240"/>
    </w:pPr>
  </w:style>
  <w:style w:type="paragraph" w:styleId="Index7">
    <w:name w:val="index 7"/>
    <w:basedOn w:val="Normal"/>
    <w:next w:val="Normal"/>
    <w:autoRedefine/>
    <w:uiPriority w:val="99"/>
    <w:semiHidden/>
    <w:unhideWhenUsed/>
    <w:rsid w:val="007406D4"/>
    <w:pPr>
      <w:spacing w:after="0" w:line="240" w:lineRule="auto"/>
      <w:ind w:left="1680" w:hanging="240"/>
    </w:pPr>
  </w:style>
  <w:style w:type="paragraph" w:styleId="Index8">
    <w:name w:val="index 8"/>
    <w:basedOn w:val="Normal"/>
    <w:next w:val="Normal"/>
    <w:autoRedefine/>
    <w:uiPriority w:val="99"/>
    <w:semiHidden/>
    <w:unhideWhenUsed/>
    <w:rsid w:val="007406D4"/>
    <w:pPr>
      <w:spacing w:after="0" w:line="240" w:lineRule="auto"/>
      <w:ind w:left="1920" w:hanging="240"/>
    </w:pPr>
  </w:style>
  <w:style w:type="paragraph" w:styleId="Index9">
    <w:name w:val="index 9"/>
    <w:basedOn w:val="Normal"/>
    <w:next w:val="Normal"/>
    <w:autoRedefine/>
    <w:uiPriority w:val="99"/>
    <w:semiHidden/>
    <w:unhideWhenUsed/>
    <w:rsid w:val="007406D4"/>
    <w:pPr>
      <w:spacing w:after="0" w:line="240" w:lineRule="auto"/>
      <w:ind w:left="2160" w:hanging="240"/>
    </w:pPr>
  </w:style>
  <w:style w:type="paragraph" w:styleId="IndexHeading">
    <w:name w:val="index heading"/>
    <w:basedOn w:val="Normal"/>
    <w:next w:val="Index1"/>
    <w:uiPriority w:val="99"/>
    <w:semiHidden/>
    <w:unhideWhenUsed/>
    <w:rsid w:val="007406D4"/>
    <w:rPr>
      <w:rFonts w:asciiTheme="majorHAnsi" w:eastAsiaTheme="majorEastAsia" w:hAnsiTheme="majorHAnsi" w:cstheme="majorBidi"/>
      <w:b/>
      <w:bCs/>
    </w:rPr>
  </w:style>
  <w:style w:type="paragraph" w:styleId="IntenseQuote">
    <w:name w:val="Intense Quote"/>
    <w:basedOn w:val="Normal"/>
    <w:next w:val="Normal"/>
    <w:link w:val="IntenseQuoteChar"/>
    <w:uiPriority w:val="40"/>
    <w:semiHidden/>
    <w:qFormat/>
    <w:rsid w:val="007406D4"/>
    <w:pPr>
      <w:pBdr>
        <w:top w:val="single" w:sz="4" w:space="10" w:color="003057" w:themeColor="accent1"/>
        <w:bottom w:val="single" w:sz="4" w:space="10" w:color="003057" w:themeColor="accent1"/>
      </w:pBdr>
      <w:spacing w:before="360" w:after="360"/>
      <w:ind w:left="864" w:right="864"/>
      <w:jc w:val="center"/>
    </w:pPr>
    <w:rPr>
      <w:i/>
      <w:iCs/>
      <w:color w:val="003057" w:themeColor="accent1"/>
    </w:rPr>
  </w:style>
  <w:style w:type="character" w:customStyle="1" w:styleId="IntenseQuoteChar">
    <w:name w:val="Intense Quote Char"/>
    <w:basedOn w:val="DefaultParagraphFont"/>
    <w:link w:val="IntenseQuote"/>
    <w:uiPriority w:val="40"/>
    <w:semiHidden/>
    <w:rsid w:val="007406D4"/>
    <w:rPr>
      <w:i/>
      <w:iCs/>
      <w:color w:val="003057" w:themeColor="accent1"/>
    </w:rPr>
  </w:style>
  <w:style w:type="paragraph" w:styleId="List">
    <w:name w:val="List"/>
    <w:basedOn w:val="Normal"/>
    <w:uiPriority w:val="99"/>
    <w:semiHidden/>
    <w:unhideWhenUsed/>
    <w:rsid w:val="007406D4"/>
    <w:pPr>
      <w:ind w:left="283" w:hanging="283"/>
      <w:contextualSpacing/>
    </w:pPr>
  </w:style>
  <w:style w:type="paragraph" w:styleId="List2">
    <w:name w:val="List 2"/>
    <w:basedOn w:val="Normal"/>
    <w:uiPriority w:val="99"/>
    <w:semiHidden/>
    <w:unhideWhenUsed/>
    <w:rsid w:val="007406D4"/>
    <w:pPr>
      <w:ind w:left="566" w:hanging="283"/>
      <w:contextualSpacing/>
    </w:pPr>
  </w:style>
  <w:style w:type="paragraph" w:styleId="List3">
    <w:name w:val="List 3"/>
    <w:basedOn w:val="Normal"/>
    <w:uiPriority w:val="99"/>
    <w:semiHidden/>
    <w:unhideWhenUsed/>
    <w:rsid w:val="007406D4"/>
    <w:pPr>
      <w:ind w:left="849" w:hanging="283"/>
      <w:contextualSpacing/>
    </w:pPr>
  </w:style>
  <w:style w:type="paragraph" w:styleId="List4">
    <w:name w:val="List 4"/>
    <w:basedOn w:val="Normal"/>
    <w:uiPriority w:val="99"/>
    <w:semiHidden/>
    <w:unhideWhenUsed/>
    <w:rsid w:val="007406D4"/>
    <w:pPr>
      <w:ind w:left="1132" w:hanging="283"/>
      <w:contextualSpacing/>
    </w:pPr>
  </w:style>
  <w:style w:type="paragraph" w:styleId="List5">
    <w:name w:val="List 5"/>
    <w:basedOn w:val="Normal"/>
    <w:uiPriority w:val="99"/>
    <w:semiHidden/>
    <w:unhideWhenUsed/>
    <w:rsid w:val="007406D4"/>
    <w:pPr>
      <w:ind w:left="1415" w:hanging="283"/>
      <w:contextualSpacing/>
    </w:pPr>
  </w:style>
  <w:style w:type="paragraph" w:styleId="ListBullet">
    <w:name w:val="List Bullet"/>
    <w:basedOn w:val="Normal"/>
    <w:uiPriority w:val="99"/>
    <w:semiHidden/>
    <w:unhideWhenUsed/>
    <w:rsid w:val="007406D4"/>
    <w:pPr>
      <w:numPr>
        <w:numId w:val="8"/>
      </w:numPr>
      <w:contextualSpacing/>
    </w:pPr>
  </w:style>
  <w:style w:type="paragraph" w:styleId="ListBullet2">
    <w:name w:val="List Bullet 2"/>
    <w:basedOn w:val="Normal"/>
    <w:uiPriority w:val="99"/>
    <w:semiHidden/>
    <w:unhideWhenUsed/>
    <w:rsid w:val="007406D4"/>
    <w:pPr>
      <w:numPr>
        <w:numId w:val="9"/>
      </w:numPr>
      <w:contextualSpacing/>
    </w:pPr>
  </w:style>
  <w:style w:type="paragraph" w:styleId="ListBullet3">
    <w:name w:val="List Bullet 3"/>
    <w:basedOn w:val="Normal"/>
    <w:uiPriority w:val="99"/>
    <w:semiHidden/>
    <w:unhideWhenUsed/>
    <w:rsid w:val="007406D4"/>
    <w:pPr>
      <w:numPr>
        <w:numId w:val="10"/>
      </w:numPr>
      <w:contextualSpacing/>
    </w:pPr>
  </w:style>
  <w:style w:type="paragraph" w:styleId="ListBullet4">
    <w:name w:val="List Bullet 4"/>
    <w:basedOn w:val="Normal"/>
    <w:uiPriority w:val="99"/>
    <w:semiHidden/>
    <w:unhideWhenUsed/>
    <w:rsid w:val="007406D4"/>
    <w:pPr>
      <w:numPr>
        <w:numId w:val="11"/>
      </w:numPr>
      <w:contextualSpacing/>
    </w:pPr>
  </w:style>
  <w:style w:type="paragraph" w:styleId="ListBullet5">
    <w:name w:val="List Bullet 5"/>
    <w:basedOn w:val="Normal"/>
    <w:uiPriority w:val="99"/>
    <w:semiHidden/>
    <w:unhideWhenUsed/>
    <w:rsid w:val="007406D4"/>
    <w:pPr>
      <w:numPr>
        <w:numId w:val="12"/>
      </w:numPr>
      <w:contextualSpacing/>
    </w:pPr>
  </w:style>
  <w:style w:type="paragraph" w:styleId="ListContinue">
    <w:name w:val="List Continue"/>
    <w:basedOn w:val="Normal"/>
    <w:uiPriority w:val="99"/>
    <w:semiHidden/>
    <w:unhideWhenUsed/>
    <w:rsid w:val="007406D4"/>
    <w:pPr>
      <w:spacing w:after="120"/>
      <w:ind w:left="283"/>
      <w:contextualSpacing/>
    </w:pPr>
  </w:style>
  <w:style w:type="paragraph" w:styleId="ListContinue2">
    <w:name w:val="List Continue 2"/>
    <w:basedOn w:val="Normal"/>
    <w:uiPriority w:val="99"/>
    <w:semiHidden/>
    <w:unhideWhenUsed/>
    <w:rsid w:val="007406D4"/>
    <w:pPr>
      <w:spacing w:after="120"/>
      <w:ind w:left="566"/>
      <w:contextualSpacing/>
    </w:pPr>
  </w:style>
  <w:style w:type="paragraph" w:styleId="ListContinue3">
    <w:name w:val="List Continue 3"/>
    <w:basedOn w:val="Normal"/>
    <w:uiPriority w:val="99"/>
    <w:semiHidden/>
    <w:unhideWhenUsed/>
    <w:rsid w:val="007406D4"/>
    <w:pPr>
      <w:spacing w:after="120"/>
      <w:ind w:left="849"/>
      <w:contextualSpacing/>
    </w:pPr>
  </w:style>
  <w:style w:type="paragraph" w:styleId="ListContinue4">
    <w:name w:val="List Continue 4"/>
    <w:basedOn w:val="Normal"/>
    <w:uiPriority w:val="99"/>
    <w:semiHidden/>
    <w:unhideWhenUsed/>
    <w:rsid w:val="007406D4"/>
    <w:pPr>
      <w:spacing w:after="120"/>
      <w:ind w:left="1132"/>
      <w:contextualSpacing/>
    </w:pPr>
  </w:style>
  <w:style w:type="paragraph" w:styleId="ListContinue5">
    <w:name w:val="List Continue 5"/>
    <w:basedOn w:val="Normal"/>
    <w:uiPriority w:val="99"/>
    <w:semiHidden/>
    <w:unhideWhenUsed/>
    <w:rsid w:val="007406D4"/>
    <w:pPr>
      <w:spacing w:after="120"/>
      <w:ind w:left="1415"/>
      <w:contextualSpacing/>
    </w:pPr>
  </w:style>
  <w:style w:type="paragraph" w:styleId="ListNumber">
    <w:name w:val="List Number"/>
    <w:basedOn w:val="Normal"/>
    <w:uiPriority w:val="99"/>
    <w:semiHidden/>
    <w:unhideWhenUsed/>
    <w:rsid w:val="007406D4"/>
    <w:pPr>
      <w:numPr>
        <w:numId w:val="13"/>
      </w:numPr>
      <w:contextualSpacing/>
    </w:pPr>
  </w:style>
  <w:style w:type="paragraph" w:styleId="ListNumber2">
    <w:name w:val="List Number 2"/>
    <w:basedOn w:val="Normal"/>
    <w:uiPriority w:val="99"/>
    <w:semiHidden/>
    <w:unhideWhenUsed/>
    <w:rsid w:val="007406D4"/>
    <w:pPr>
      <w:numPr>
        <w:numId w:val="14"/>
      </w:numPr>
      <w:contextualSpacing/>
    </w:pPr>
  </w:style>
  <w:style w:type="paragraph" w:styleId="ListNumber3">
    <w:name w:val="List Number 3"/>
    <w:basedOn w:val="Normal"/>
    <w:uiPriority w:val="99"/>
    <w:semiHidden/>
    <w:unhideWhenUsed/>
    <w:rsid w:val="007406D4"/>
    <w:pPr>
      <w:numPr>
        <w:numId w:val="15"/>
      </w:numPr>
      <w:contextualSpacing/>
    </w:pPr>
  </w:style>
  <w:style w:type="paragraph" w:styleId="ListNumber4">
    <w:name w:val="List Number 4"/>
    <w:basedOn w:val="Normal"/>
    <w:uiPriority w:val="99"/>
    <w:semiHidden/>
    <w:unhideWhenUsed/>
    <w:rsid w:val="007406D4"/>
    <w:pPr>
      <w:numPr>
        <w:numId w:val="16"/>
      </w:numPr>
      <w:contextualSpacing/>
    </w:pPr>
  </w:style>
  <w:style w:type="paragraph" w:styleId="ListNumber5">
    <w:name w:val="List Number 5"/>
    <w:basedOn w:val="Normal"/>
    <w:uiPriority w:val="99"/>
    <w:semiHidden/>
    <w:unhideWhenUsed/>
    <w:rsid w:val="007406D4"/>
    <w:pPr>
      <w:numPr>
        <w:numId w:val="17"/>
      </w:numPr>
      <w:contextualSpacing/>
    </w:pPr>
  </w:style>
  <w:style w:type="paragraph" w:styleId="ListParagraph">
    <w:name w:val="List Paragraph"/>
    <w:basedOn w:val="Normal"/>
    <w:uiPriority w:val="44"/>
    <w:semiHidden/>
    <w:rsid w:val="00633C01"/>
    <w:pPr>
      <w:ind w:left="720"/>
      <w:contextualSpacing/>
    </w:pPr>
  </w:style>
  <w:style w:type="paragraph" w:styleId="MacroText">
    <w:name w:val="macro"/>
    <w:link w:val="MacroTextChar"/>
    <w:uiPriority w:val="99"/>
    <w:semiHidden/>
    <w:unhideWhenUsed/>
    <w:rsid w:val="007406D4"/>
    <w:pPr>
      <w:tabs>
        <w:tab w:val="left" w:pos="480"/>
        <w:tab w:val="left" w:pos="960"/>
        <w:tab w:val="left" w:pos="1440"/>
        <w:tab w:val="left" w:pos="1920"/>
        <w:tab w:val="left" w:pos="2400"/>
        <w:tab w:val="left" w:pos="2880"/>
        <w:tab w:val="left" w:pos="3360"/>
        <w:tab w:val="left" w:pos="3840"/>
        <w:tab w:val="left" w:pos="4320"/>
      </w:tabs>
      <w:spacing w:after="0" w:line="288" w:lineRule="atLeast"/>
    </w:pPr>
    <w:rPr>
      <w:rFonts w:ascii="Consolas" w:hAnsi="Consolas"/>
      <w:sz w:val="20"/>
      <w:szCs w:val="20"/>
    </w:rPr>
  </w:style>
  <w:style w:type="character" w:customStyle="1" w:styleId="MacroTextChar">
    <w:name w:val="Macro Text Char"/>
    <w:basedOn w:val="DefaultParagraphFont"/>
    <w:link w:val="MacroText"/>
    <w:uiPriority w:val="99"/>
    <w:semiHidden/>
    <w:rsid w:val="007406D4"/>
    <w:rPr>
      <w:rFonts w:ascii="Consolas" w:hAnsi="Consolas"/>
      <w:color w:val="003057" w:themeColor="text1"/>
      <w:sz w:val="20"/>
      <w:szCs w:val="20"/>
    </w:rPr>
  </w:style>
  <w:style w:type="paragraph" w:styleId="MessageHeader">
    <w:name w:val="Message Header"/>
    <w:basedOn w:val="Normal"/>
    <w:link w:val="MessageHeaderChar"/>
    <w:uiPriority w:val="99"/>
    <w:semiHidden/>
    <w:unhideWhenUsed/>
    <w:rsid w:val="007406D4"/>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7406D4"/>
    <w:rPr>
      <w:rFonts w:asciiTheme="majorHAnsi" w:eastAsiaTheme="majorEastAsia" w:hAnsiTheme="majorHAnsi" w:cstheme="majorBidi"/>
      <w:color w:val="003057" w:themeColor="text1"/>
      <w:shd w:val="pct20" w:color="auto" w:fill="auto"/>
    </w:rPr>
  </w:style>
  <w:style w:type="paragraph" w:styleId="NoSpacing">
    <w:name w:val="No Spacing"/>
    <w:uiPriority w:val="1"/>
    <w:semiHidden/>
    <w:qFormat/>
    <w:rsid w:val="007406D4"/>
    <w:pPr>
      <w:spacing w:after="0" w:line="240" w:lineRule="auto"/>
    </w:pPr>
  </w:style>
  <w:style w:type="paragraph" w:styleId="NormalWeb">
    <w:name w:val="Normal (Web)"/>
    <w:basedOn w:val="Normal"/>
    <w:uiPriority w:val="99"/>
    <w:semiHidden/>
    <w:unhideWhenUsed/>
    <w:rsid w:val="007406D4"/>
    <w:rPr>
      <w:rFonts w:ascii="Times New Roman" w:hAnsi="Times New Roman" w:cs="Times New Roman"/>
    </w:rPr>
  </w:style>
  <w:style w:type="paragraph" w:styleId="NormalIndent">
    <w:name w:val="Normal Indent"/>
    <w:basedOn w:val="Normal"/>
    <w:uiPriority w:val="99"/>
    <w:semiHidden/>
    <w:unhideWhenUsed/>
    <w:rsid w:val="007406D4"/>
    <w:pPr>
      <w:ind w:left="720"/>
    </w:pPr>
  </w:style>
  <w:style w:type="paragraph" w:styleId="NoteHeading">
    <w:name w:val="Note Heading"/>
    <w:basedOn w:val="Normal"/>
    <w:next w:val="Normal"/>
    <w:link w:val="NoteHeadingChar"/>
    <w:uiPriority w:val="99"/>
    <w:semiHidden/>
    <w:unhideWhenUsed/>
    <w:rsid w:val="007406D4"/>
    <w:pPr>
      <w:spacing w:after="0" w:line="240" w:lineRule="auto"/>
    </w:pPr>
  </w:style>
  <w:style w:type="character" w:customStyle="1" w:styleId="NoteHeadingChar">
    <w:name w:val="Note Heading Char"/>
    <w:basedOn w:val="DefaultParagraphFont"/>
    <w:link w:val="NoteHeading"/>
    <w:uiPriority w:val="99"/>
    <w:semiHidden/>
    <w:rsid w:val="007406D4"/>
    <w:rPr>
      <w:color w:val="003057" w:themeColor="text1"/>
    </w:rPr>
  </w:style>
  <w:style w:type="paragraph" w:styleId="PlainText">
    <w:name w:val="Plain Text"/>
    <w:basedOn w:val="Normal"/>
    <w:link w:val="PlainTextChar"/>
    <w:uiPriority w:val="99"/>
    <w:semiHidden/>
    <w:unhideWhenUsed/>
    <w:rsid w:val="007406D4"/>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7406D4"/>
    <w:rPr>
      <w:rFonts w:ascii="Consolas" w:hAnsi="Consolas"/>
      <w:color w:val="003057" w:themeColor="text1"/>
      <w:sz w:val="21"/>
      <w:szCs w:val="21"/>
    </w:rPr>
  </w:style>
  <w:style w:type="paragraph" w:styleId="Quote">
    <w:name w:val="Quote"/>
    <w:basedOn w:val="Normal"/>
    <w:next w:val="Normal"/>
    <w:link w:val="QuoteChar"/>
    <w:uiPriority w:val="39"/>
    <w:semiHidden/>
    <w:qFormat/>
    <w:rsid w:val="00633C01"/>
    <w:pPr>
      <w:spacing w:before="200" w:after="160"/>
      <w:ind w:left="864" w:right="864"/>
      <w:jc w:val="center"/>
    </w:pPr>
    <w:rPr>
      <w:i/>
      <w:iCs/>
    </w:rPr>
  </w:style>
  <w:style w:type="character" w:customStyle="1" w:styleId="QuoteChar">
    <w:name w:val="Quote Char"/>
    <w:basedOn w:val="DefaultParagraphFont"/>
    <w:link w:val="Quote"/>
    <w:uiPriority w:val="39"/>
    <w:semiHidden/>
    <w:rsid w:val="00633C01"/>
    <w:rPr>
      <w:i/>
      <w:iCs/>
      <w:color w:val="003057" w:themeColor="text1"/>
    </w:rPr>
  </w:style>
  <w:style w:type="paragraph" w:styleId="Salutation">
    <w:name w:val="Salutation"/>
    <w:basedOn w:val="Normal"/>
    <w:next w:val="Normal"/>
    <w:link w:val="SalutationChar"/>
    <w:uiPriority w:val="99"/>
    <w:semiHidden/>
    <w:unhideWhenUsed/>
    <w:rsid w:val="007406D4"/>
  </w:style>
  <w:style w:type="character" w:customStyle="1" w:styleId="SalutationChar">
    <w:name w:val="Salutation Char"/>
    <w:basedOn w:val="DefaultParagraphFont"/>
    <w:link w:val="Salutation"/>
    <w:uiPriority w:val="99"/>
    <w:semiHidden/>
    <w:rsid w:val="007406D4"/>
    <w:rPr>
      <w:color w:val="003057" w:themeColor="text1"/>
    </w:rPr>
  </w:style>
  <w:style w:type="paragraph" w:styleId="Signature">
    <w:name w:val="Signature"/>
    <w:basedOn w:val="Normal"/>
    <w:link w:val="SignatureChar"/>
    <w:uiPriority w:val="99"/>
    <w:semiHidden/>
    <w:unhideWhenUsed/>
    <w:rsid w:val="007406D4"/>
    <w:pPr>
      <w:spacing w:after="0" w:line="240" w:lineRule="auto"/>
      <w:ind w:left="4252"/>
    </w:pPr>
  </w:style>
  <w:style w:type="character" w:customStyle="1" w:styleId="SignatureChar">
    <w:name w:val="Signature Char"/>
    <w:basedOn w:val="DefaultParagraphFont"/>
    <w:link w:val="Signature"/>
    <w:uiPriority w:val="99"/>
    <w:semiHidden/>
    <w:rsid w:val="007406D4"/>
    <w:rPr>
      <w:color w:val="003057" w:themeColor="text1"/>
    </w:rPr>
  </w:style>
  <w:style w:type="paragraph" w:styleId="TableofAuthorities">
    <w:name w:val="table of authorities"/>
    <w:basedOn w:val="Normal"/>
    <w:next w:val="Normal"/>
    <w:uiPriority w:val="99"/>
    <w:semiHidden/>
    <w:unhideWhenUsed/>
    <w:rsid w:val="007406D4"/>
    <w:pPr>
      <w:spacing w:after="0"/>
      <w:ind w:left="240" w:hanging="240"/>
    </w:pPr>
  </w:style>
  <w:style w:type="paragraph" w:styleId="TableofFigures">
    <w:name w:val="table of figures"/>
    <w:basedOn w:val="Normal"/>
    <w:next w:val="Normal"/>
    <w:uiPriority w:val="99"/>
    <w:semiHidden/>
    <w:unhideWhenUsed/>
    <w:rsid w:val="007406D4"/>
    <w:pPr>
      <w:spacing w:after="0"/>
    </w:pPr>
  </w:style>
  <w:style w:type="paragraph" w:styleId="TOAHeading">
    <w:name w:val="toa heading"/>
    <w:basedOn w:val="Normal"/>
    <w:next w:val="Normal"/>
    <w:uiPriority w:val="99"/>
    <w:semiHidden/>
    <w:unhideWhenUsed/>
    <w:rsid w:val="007406D4"/>
    <w:pPr>
      <w:spacing w:before="120"/>
    </w:pPr>
    <w:rPr>
      <w:rFonts w:asciiTheme="majorHAnsi" w:eastAsiaTheme="majorEastAsia" w:hAnsiTheme="majorHAnsi" w:cstheme="majorBidi"/>
      <w:b/>
      <w:bCs/>
    </w:rPr>
  </w:style>
  <w:style w:type="paragraph" w:styleId="TOC5">
    <w:name w:val="toc 5"/>
    <w:basedOn w:val="Normal"/>
    <w:next w:val="Normal"/>
    <w:autoRedefine/>
    <w:uiPriority w:val="47"/>
    <w:semiHidden/>
    <w:unhideWhenUsed/>
    <w:rsid w:val="007406D4"/>
    <w:pPr>
      <w:spacing w:after="100"/>
      <w:ind w:left="960"/>
    </w:pPr>
  </w:style>
  <w:style w:type="paragraph" w:styleId="TOC6">
    <w:name w:val="toc 6"/>
    <w:basedOn w:val="Normal"/>
    <w:next w:val="Normal"/>
    <w:autoRedefine/>
    <w:uiPriority w:val="47"/>
    <w:semiHidden/>
    <w:unhideWhenUsed/>
    <w:rsid w:val="007406D4"/>
    <w:pPr>
      <w:spacing w:after="100"/>
      <w:ind w:left="1200"/>
    </w:pPr>
  </w:style>
  <w:style w:type="paragraph" w:styleId="TOC7">
    <w:name w:val="toc 7"/>
    <w:basedOn w:val="Normal"/>
    <w:next w:val="Normal"/>
    <w:autoRedefine/>
    <w:uiPriority w:val="47"/>
    <w:semiHidden/>
    <w:unhideWhenUsed/>
    <w:rsid w:val="007406D4"/>
    <w:pPr>
      <w:spacing w:after="100"/>
      <w:ind w:left="1440"/>
    </w:pPr>
  </w:style>
  <w:style w:type="paragraph" w:styleId="TOC8">
    <w:name w:val="toc 8"/>
    <w:basedOn w:val="Normal"/>
    <w:next w:val="Normal"/>
    <w:autoRedefine/>
    <w:uiPriority w:val="47"/>
    <w:semiHidden/>
    <w:unhideWhenUsed/>
    <w:rsid w:val="007406D4"/>
    <w:pPr>
      <w:spacing w:after="100"/>
      <w:ind w:left="1680"/>
    </w:pPr>
  </w:style>
  <w:style w:type="paragraph" w:styleId="TOC9">
    <w:name w:val="toc 9"/>
    <w:basedOn w:val="Normal"/>
    <w:next w:val="Normal"/>
    <w:autoRedefine/>
    <w:uiPriority w:val="47"/>
    <w:semiHidden/>
    <w:unhideWhenUsed/>
    <w:rsid w:val="007406D4"/>
    <w:pPr>
      <w:spacing w:after="100"/>
      <w:ind w:left="1920"/>
    </w:pPr>
  </w:style>
  <w:style w:type="paragraph" w:styleId="TOCHeading">
    <w:name w:val="TOC Heading"/>
    <w:basedOn w:val="Heading1"/>
    <w:next w:val="Normal"/>
    <w:uiPriority w:val="39"/>
    <w:unhideWhenUsed/>
    <w:qFormat/>
    <w:rsid w:val="007406D4"/>
    <w:pPr>
      <w:keepNext/>
      <w:keepLines/>
      <w:spacing w:before="240" w:after="0" w:line="288" w:lineRule="atLeast"/>
      <w:outlineLvl w:val="9"/>
    </w:pPr>
    <w:rPr>
      <w:rFonts w:asciiTheme="majorHAnsi" w:eastAsiaTheme="majorEastAsia" w:hAnsiTheme="majorHAnsi" w:cstheme="majorBidi"/>
      <w:color w:val="002341" w:themeColor="accent1" w:themeShade="BF"/>
      <w:sz w:val="32"/>
      <w:szCs w:val="32"/>
    </w:rPr>
  </w:style>
  <w:style w:type="character" w:styleId="FollowedHyperlink">
    <w:name w:val="FollowedHyperlink"/>
    <w:basedOn w:val="DefaultParagraphFont"/>
    <w:uiPriority w:val="99"/>
    <w:unhideWhenUsed/>
    <w:rsid w:val="00F3509A"/>
    <w:rPr>
      <w:color w:val="705191" w:themeColor="followedHyperlink"/>
      <w:u w:val="single"/>
    </w:rPr>
  </w:style>
  <w:style w:type="paragraph" w:customStyle="1" w:styleId="Boxbulletpoints">
    <w:name w:val="Box bullet points"/>
    <w:basedOn w:val="Boxtext"/>
    <w:uiPriority w:val="19"/>
    <w:qFormat/>
    <w:rsid w:val="006D5F44"/>
    <w:pPr>
      <w:pBdr>
        <w:top w:val="single" w:sz="4" w:space="6" w:color="68813B" w:themeColor="accent4"/>
        <w:left w:val="single" w:sz="4" w:space="6" w:color="68813B" w:themeColor="accent4"/>
        <w:bottom w:val="single" w:sz="4" w:space="6" w:color="68813B" w:themeColor="accent4"/>
        <w:right w:val="single" w:sz="4" w:space="6" w:color="68813B" w:themeColor="accent4"/>
      </w:pBdr>
      <w:tabs>
        <w:tab w:val="num" w:pos="567"/>
      </w:tabs>
      <w:spacing w:line="288" w:lineRule="exact"/>
      <w:ind w:left="567" w:hanging="567"/>
      <w:contextualSpacing/>
    </w:pPr>
  </w:style>
  <w:style w:type="character" w:styleId="CommentReference">
    <w:name w:val="annotation reference"/>
    <w:basedOn w:val="DefaultParagraphFont"/>
    <w:uiPriority w:val="99"/>
    <w:semiHidden/>
    <w:unhideWhenUsed/>
    <w:rsid w:val="005D024B"/>
    <w:rPr>
      <w:sz w:val="16"/>
      <w:szCs w:val="16"/>
    </w:rPr>
  </w:style>
  <w:style w:type="paragraph" w:customStyle="1" w:styleId="pf0">
    <w:name w:val="pf0"/>
    <w:basedOn w:val="Normal"/>
    <w:rsid w:val="00F03A84"/>
    <w:pPr>
      <w:spacing w:before="100" w:beforeAutospacing="1" w:after="100" w:afterAutospacing="1" w:line="240" w:lineRule="auto"/>
    </w:pPr>
    <w:rPr>
      <w:rFonts w:ascii="Times New Roman" w:eastAsia="Times New Roman" w:hAnsi="Times New Roman" w:cs="Times New Roman"/>
      <w:color w:val="auto"/>
      <w:lang w:eastAsia="en-GB"/>
    </w:rPr>
  </w:style>
  <w:style w:type="character" w:customStyle="1" w:styleId="cf01">
    <w:name w:val="cf01"/>
    <w:basedOn w:val="DefaultParagraphFont"/>
    <w:rsid w:val="00F03A84"/>
    <w:rPr>
      <w:rFonts w:ascii="Segoe UI" w:hAnsi="Segoe UI" w:cs="Segoe UI" w:hint="default"/>
      <w:sz w:val="18"/>
      <w:szCs w:val="18"/>
    </w:rPr>
  </w:style>
  <w:style w:type="paragraph" w:styleId="Revision">
    <w:name w:val="Revision"/>
    <w:hidden/>
    <w:uiPriority w:val="99"/>
    <w:semiHidden/>
    <w:rsid w:val="00D4077A"/>
    <w:pPr>
      <w:spacing w:after="0" w:line="240" w:lineRule="auto"/>
    </w:pPr>
  </w:style>
  <w:style w:type="character" w:styleId="UnresolvedMention">
    <w:name w:val="Unresolved Mention"/>
    <w:basedOn w:val="DefaultParagraphFont"/>
    <w:uiPriority w:val="99"/>
    <w:semiHidden/>
    <w:unhideWhenUsed/>
    <w:rsid w:val="00660D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hyperlink" Target="mailto:dmoran@electoralcommission.org.uk" TargetMode="External"/><Relationship Id="rId2" Type="http://schemas.openxmlformats.org/officeDocument/2006/relationships/customXml" Target="../customXml/item2.xml"/><Relationship Id="rId16" Type="http://schemas.openxmlformats.org/officeDocument/2006/relationships/hyperlink" Target="mailto:Mike.Cheetham@rsmuk.com"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BGoh@electoralcommission.org.uk"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protect-advice.org.uk/advice-lin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Electoral Commission">
  <a:themeElements>
    <a:clrScheme name="Electoral Commission">
      <a:dk1>
        <a:srgbClr val="003057"/>
      </a:dk1>
      <a:lt1>
        <a:srgbClr val="FFFFFF"/>
      </a:lt1>
      <a:dk2>
        <a:srgbClr val="E6007C"/>
      </a:dk2>
      <a:lt2>
        <a:srgbClr val="0099C3"/>
      </a:lt2>
      <a:accent1>
        <a:srgbClr val="003057"/>
      </a:accent1>
      <a:accent2>
        <a:srgbClr val="A91255"/>
      </a:accent2>
      <a:accent3>
        <a:srgbClr val="705191"/>
      </a:accent3>
      <a:accent4>
        <a:srgbClr val="68813B"/>
      </a:accent4>
      <a:accent5>
        <a:srgbClr val="D05D15"/>
      </a:accent5>
      <a:accent6>
        <a:srgbClr val="CBC4BC"/>
      </a:accent6>
      <a:hlink>
        <a:srgbClr val="0099C3"/>
      </a:hlink>
      <a:folHlink>
        <a:srgbClr val="705191"/>
      </a:folHlink>
    </a:clrScheme>
    <a:fontScheme name="Default Design">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noFill/>
        <a:ln w="12700">
          <a:solidFill>
            <a:schemeClr val="tx1"/>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bg2"/>
                </a:outerShdw>
              </a:effectLst>
            </a14:hiddenEffects>
          </a:ext>
        </a:extLst>
      </a:spPr>
      <a:bodyPr wrap="none" lIns="72000" tIns="72000" rIns="72000" bIns="72000" rtlCol="0" anchor="ctr" anchorCtr="1"/>
      <a:lstStyle>
        <a:defPPr algn="l">
          <a:defRPr sz="1600" dirty="0" smtClean="0"/>
        </a:defPPr>
      </a:lstStyle>
    </a:spDef>
    <a:lnDef>
      <a:spPr bwMode="auto">
        <a:solidFill>
          <a:schemeClr val="accent1"/>
        </a:solidFill>
        <a:ln w="12700" cap="flat" cmpd="sng" algn="ctr">
          <a:solidFill>
            <a:schemeClr val="tx1"/>
          </a:solidFill>
          <a:prstDash val="solid"/>
          <a:round/>
          <a:headEnd type="none" w="med" len="med"/>
          <a:tailEnd type="none" w="med" len="med"/>
        </a:ln>
        <a:effectLst/>
        <a:extLst>
          <a:ext uri="{AF507438-7753-43E0-B8FC-AC1667EBCBE1}">
            <a14:hiddenEffects xmlns:a14="http://schemas.microsoft.com/office/drawing/2010/main">
              <a:effectLst>
                <a:outerShdw dist="35921" dir="2700000" algn="ctr" rotWithShape="0">
                  <a:schemeClr val="bg2"/>
                </a:outerShdw>
              </a:effectLst>
            </a14:hiddenEffects>
          </a:ext>
        </a:extLst>
      </a:spPr>
      <a:bodyPr/>
      <a:lstStyle/>
    </a:lnDef>
    <a:txDef>
      <a:spPr>
        <a:noFill/>
      </a:spPr>
      <a:bodyPr wrap="none" lIns="0" tIns="0" rIns="0" bIns="0" rtlCol="0">
        <a:spAutoFit/>
      </a:bodyPr>
      <a:lstStyle>
        <a:defPPr algn="l">
          <a:defRPr sz="1600" dirty="0" err="1" smtClean="0"/>
        </a:defPPr>
      </a:lstStyle>
    </a:txDef>
  </a:objectDefaults>
  <a:extraClrSchemeLst>
    <a:extraClrScheme>
      <a:clrScheme name="Default Design 1">
        <a:dk1>
          <a:srgbClr val="CCCCCC"/>
        </a:dk1>
        <a:lt1>
          <a:srgbClr val="FFFFFF"/>
        </a:lt1>
        <a:dk2>
          <a:srgbClr val="003366"/>
        </a:dk2>
        <a:lt2>
          <a:srgbClr val="0099CC"/>
        </a:lt2>
        <a:accent1>
          <a:srgbClr val="0099CC"/>
        </a:accent1>
        <a:accent2>
          <a:srgbClr val="CC0066"/>
        </a:accent2>
        <a:accent3>
          <a:srgbClr val="AAADB8"/>
        </a:accent3>
        <a:accent4>
          <a:srgbClr val="DADADA"/>
        </a:accent4>
        <a:accent5>
          <a:srgbClr val="AACAE2"/>
        </a:accent5>
        <a:accent6>
          <a:srgbClr val="B9005C"/>
        </a:accent6>
        <a:hlink>
          <a:srgbClr val="333333"/>
        </a:hlink>
        <a:folHlink>
          <a:srgbClr val="0099CC"/>
        </a:folHlink>
      </a:clrScheme>
      <a:clrMap bg1="dk2" tx1="lt1" bg2="dk1" tx2="lt2" accent1="accent1" accent2="accent2" accent3="accent3" accent4="accent4" accent5="accent5" accent6="accent6" hlink="hlink" folHlink="folHlink"/>
    </a:extraClrScheme>
    <a:extraClrScheme>
      <a:clrScheme name="Default Design 2">
        <a:dk1>
          <a:srgbClr val="003366"/>
        </a:dk1>
        <a:lt1>
          <a:srgbClr val="FFFFFF"/>
        </a:lt1>
        <a:dk2>
          <a:srgbClr val="0099CC"/>
        </a:dk2>
        <a:lt2>
          <a:srgbClr val="CCCCCC"/>
        </a:lt2>
        <a:accent1>
          <a:srgbClr val="0099CC"/>
        </a:accent1>
        <a:accent2>
          <a:srgbClr val="CC0066"/>
        </a:accent2>
        <a:accent3>
          <a:srgbClr val="FFFFFF"/>
        </a:accent3>
        <a:accent4>
          <a:srgbClr val="002A56"/>
        </a:accent4>
        <a:accent5>
          <a:srgbClr val="AACAE2"/>
        </a:accent5>
        <a:accent6>
          <a:srgbClr val="B9005C"/>
        </a:accent6>
        <a:hlink>
          <a:srgbClr val="333333"/>
        </a:hlink>
        <a:folHlink>
          <a:srgbClr val="0099CC"/>
        </a:folHlink>
      </a:clrScheme>
      <a:clrMap bg1="lt1" tx1="dk1" bg2="lt2" tx2="dk2" accent1="accent1" accent2="accent2" accent3="accent3" accent4="accent4" accent5="accent5" accent6="accent6" hlink="hlink" folHlink="folHlink"/>
    </a:extraClrScheme>
  </a:extraClrSchemeLst>
  <a:custClrLst>
    <a:custClr name="EC Orange">
      <a:srgbClr val="EC6608"/>
    </a:custClr>
    <a:custClr name="EC Green">
      <a:srgbClr val="96BE2D"/>
    </a:custClr>
    <a:custClr name="EC Purple">
      <a:srgbClr val="9C7DA9"/>
    </a:custClr>
    <a:custClr name="EC Yellow">
      <a:srgbClr val="F0DE38"/>
    </a:custClr>
    <a:custClr>
      <a:srgbClr val="FFFFFF"/>
    </a:custClr>
    <a:custClr>
      <a:srgbClr val="FFFFFF"/>
    </a:custClr>
    <a:custClr>
      <a:srgbClr val="FFFFFF"/>
    </a:custClr>
    <a:custClr>
      <a:srgbClr val="FFFFFF"/>
    </a:custClr>
    <a:custClr>
      <a:srgbClr val="FFFFFF"/>
    </a:custClr>
    <a:custClr>
      <a:srgbClr val="FFFFFF"/>
    </a:custClr>
    <a:custClr name="EC Dark Blue 75%">
      <a:srgbClr val="2D5173"/>
    </a:custClr>
    <a:custClr name="EC Dark Blue 50%">
      <a:srgbClr val="6B809D"/>
    </a:custClr>
    <a:custClr name="EC Dark Blue 25%">
      <a:srgbClr val="B1BACD"/>
    </a:custClr>
    <a:custClr name="EC Light Blue 75%">
      <a:srgbClr val="25B2D3"/>
    </a:custClr>
    <a:custClr name="EC Light Blue 50%">
      <a:srgbClr val="8CCCE3"/>
    </a:custClr>
    <a:custClr name="EC Light Blue 25%">
      <a:srgbClr val="CBE6F2"/>
    </a:custClr>
    <a:custClr>
      <a:srgbClr val="FFFFFF"/>
    </a:custClr>
    <a:custClr>
      <a:srgbClr val="FFFFFF"/>
    </a:custClr>
    <a:custClr>
      <a:srgbClr val="FFFFFF"/>
    </a:custClr>
    <a:custClr>
      <a:srgbClr val="FFFFFF"/>
    </a:custClr>
    <a:custClr name="EC Pink 25%">
      <a:srgbClr val="F9D3E5"/>
    </a:custClr>
    <a:custClr name="EC Orange 25%">
      <a:srgbClr val="FDDDC3"/>
    </a:custClr>
    <a:custClr name="EC Green 25%">
      <a:srgbClr val="E7EFD1"/>
    </a:custClr>
    <a:custClr name="EC Purple 25%">
      <a:srgbClr val="E3DCEB"/>
    </a:custClr>
    <a:custClr name="EC Yellow 25%">
      <a:srgbClr val="FCF7D7"/>
    </a:custClr>
    <a:custClr name="EC Grey 25%">
      <a:srgbClr val="F2F0EE"/>
    </a:custClr>
  </a:custClrLst>
  <a:extLst>
    <a:ext uri="{05A4C25C-085E-4340-85A3-A5531E510DB2}">
      <thm15:themeFamily xmlns:thm15="http://schemas.microsoft.com/office/thememl/2012/main" name="Electoral Commission" id="{089140F5-A040-4857-A709-DEDE5DD914E7}" vid="{052673E5-F94E-4DA9-88EC-A5C6A7992531}"/>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Word Document" ma:contentTypeID="0x01010052338350DC09AB4F825016BFF23A28AD0300A599821790B5B8429098332F56A35315" ma:contentTypeVersion="26" ma:contentTypeDescription="Word Document Content Type" ma:contentTypeScope="" ma:versionID="8cad800f4580e72fb36415f2594d1c26">
  <xsd:schema xmlns:xsd="http://www.w3.org/2001/XMLSchema" xmlns:xs="http://www.w3.org/2001/XMLSchema" xmlns:p="http://schemas.microsoft.com/office/2006/metadata/properties" xmlns:ns2="fc73922b-ee12-4d47-9fe9-79c993e89b0c" xmlns:ns3="b90c1d36-e96d-487e-b1f2-864beeb8380e" targetNamespace="http://schemas.microsoft.com/office/2006/metadata/properties" ma:root="true" ma:fieldsID="a5f3da38855765eca7abdcfb891bdd31" ns2:_="" ns3:_="">
    <xsd:import namespace="fc73922b-ee12-4d47-9fe9-79c993e89b0c"/>
    <xsd:import namespace="b90c1d36-e96d-487e-b1f2-864beeb8380e"/>
    <xsd:element name="properties">
      <xsd:complexType>
        <xsd:sequence>
          <xsd:element name="documentManagement">
            <xsd:complexType>
              <xsd:all>
                <xsd:element ref="ns2:Owner" minOccurs="0"/>
                <xsd:element ref="ns2:Retention" minOccurs="0"/>
                <xsd:element ref="ns2:ArticleName" minOccurs="0"/>
                <xsd:element ref="ns2:TaxCatchAll" minOccurs="0"/>
                <xsd:element ref="ns3:Original_x0020_Creator" minOccurs="0"/>
                <xsd:element ref="ns3:Original_x0020_Modified_x0020_By" minOccurs="0"/>
                <xsd:element ref="ns2:j5093c87c62f4e2ea96105d295eed61a" minOccurs="0"/>
                <xsd:element ref="ns2:TaxCatchAllLabel" minOccurs="0"/>
                <xsd:element ref="ns2:k8d136f7c151492e9a8c9a3ff7eb0306" minOccurs="0"/>
                <xsd:element ref="ns2:o4f6c70134b64a99b8a9c18b6cabc6d3" minOccurs="0"/>
                <xsd:element ref="ns2:b78556a5ab004a83993a9660bce6152c" minOccurs="0"/>
                <xsd:element ref="ns2:b9ca678d06974d1b9a589aa70f41520a" minOccurs="0"/>
                <xsd:element ref="ns2:j4f12893337a4eac9e2d2c696f543b80" minOccurs="0"/>
                <xsd:element ref="ns2:_dlc_DocId" minOccurs="0"/>
                <xsd:element ref="ns2:_dlc_DocIdUrl" minOccurs="0"/>
                <xsd:element ref="ns2:_dlc_DocIdPersistId" minOccurs="0"/>
                <xsd:element ref="ns3:MediaServiceMetadata" minOccurs="0"/>
                <xsd:element ref="ns3:MediaServiceFastMetadata" minOccurs="0"/>
                <xsd:element ref="ns3:MediaServiceObjectDetectorVersions" minOccurs="0"/>
                <xsd:element ref="ns3:MediaServiceSearchProperties"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73922b-ee12-4d47-9fe9-79c993e89b0c" elementFormDefault="qualified">
    <xsd:import namespace="http://schemas.microsoft.com/office/2006/documentManagement/types"/>
    <xsd:import namespace="http://schemas.microsoft.com/office/infopath/2007/PartnerControls"/>
    <xsd:element name="Owner" ma:index="4" nillable="true" ma:displayName="Owner" ma:list="UserInfo" ma:SharePointGroup="0" ma:internalName="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tention" ma:index="5" nillable="true" ma:displayName="Retention" ma:default="7 years" ma:format="Dropdown" ma:internalName="Retention" ma:readOnly="false">
      <xsd:simpleType>
        <xsd:restriction base="dms:Choice">
          <xsd:enumeration value="6 months"/>
          <xsd:enumeration value="1 year"/>
          <xsd:enumeration value="3 years"/>
          <xsd:enumeration value="7 years"/>
          <xsd:enumeration value="12 years"/>
          <xsd:enumeration value="100 years"/>
        </xsd:restriction>
      </xsd:simpleType>
    </xsd:element>
    <xsd:element name="ArticleName" ma:index="10" nillable="true" ma:displayName="Name" ma:hidden="true" ma:internalName="ArticleName" ma:readOnly="false">
      <xsd:simpleType>
        <xsd:restriction base="dms:Text"/>
      </xsd:simpleType>
    </xsd:element>
    <xsd:element name="TaxCatchAll" ma:index="12" nillable="true" ma:displayName="Taxonomy Catch All Column" ma:hidden="true" ma:list="{cd169fe0-1926-494c-b780-518ccf3f0645}" ma:internalName="TaxCatchAll" ma:readOnly="false" ma:showField="CatchAllData" ma:web="fc73922b-ee12-4d47-9fe9-79c993e89b0c">
      <xsd:complexType>
        <xsd:complexContent>
          <xsd:extension base="dms:MultiChoiceLookup">
            <xsd:sequence>
              <xsd:element name="Value" type="dms:Lookup" maxOccurs="unbounded" minOccurs="0" nillable="true"/>
            </xsd:sequence>
          </xsd:extension>
        </xsd:complexContent>
      </xsd:complexType>
    </xsd:element>
    <xsd:element name="j5093c87c62f4e2ea96105d295eed61a" ma:index="20" nillable="true" ma:taxonomy="true" ma:internalName="j5093c87c62f4e2ea96105d295eed61a" ma:taxonomyFieldName="GPMS_x0020_marking" ma:displayName="GPMS marking" ma:readOnly="false" ma:default="-1;#Official|77462fb2-11a1-4cd5-8628-4e6081b9477e" ma:fieldId="{35093c87-c62f-4e2e-a961-05d295eed61a}" ma:sspId="7c0fde62-7cba-4014-acb1-76457a673074" ma:termSetId="1f343abd-db6c-4475-a574-cc7b5b5bdee2" ma:anchorId="00000000-0000-0000-0000-000000000000" ma:open="true" ma:isKeyword="false">
      <xsd:complexType>
        <xsd:sequence>
          <xsd:element ref="pc:Terms" minOccurs="0" maxOccurs="1"/>
        </xsd:sequence>
      </xsd:complexType>
    </xsd:element>
    <xsd:element name="TaxCatchAllLabel" ma:index="21" nillable="true" ma:displayName="Taxonomy Catch All Column1" ma:hidden="true" ma:list="{cd169fe0-1926-494c-b780-518ccf3f0645}" ma:internalName="TaxCatchAllLabel" ma:readOnly="true" ma:showField="CatchAllDataLabel" ma:web="fc73922b-ee12-4d47-9fe9-79c993e89b0c">
      <xsd:complexType>
        <xsd:complexContent>
          <xsd:extension base="dms:MultiChoiceLookup">
            <xsd:sequence>
              <xsd:element name="Value" type="dms:Lookup" maxOccurs="unbounded" minOccurs="0" nillable="true"/>
            </xsd:sequence>
          </xsd:extension>
        </xsd:complexContent>
      </xsd:complexType>
    </xsd:element>
    <xsd:element name="k8d136f7c151492e9a8c9a3ff7eb0306" ma:index="22" nillable="true" ma:taxonomy="true" ma:internalName="k8d136f7c151492e9a8c9a3ff7eb0306" ma:taxonomyFieldName="ECSubject" ma:displayName="EC Subject" ma:readOnly="false" ma:default="-1;#Governance|7fe9424e-8b28-4402-9b5f-2b8c9e4e83dc" ma:fieldId="{48d136f7-c151-492e-9a8c-9a3ff7eb0306}" ma:taxonomyMulti="true" ma:sspId="7c0fde62-7cba-4014-acb1-76457a673074" ma:termSetId="0d5ca8a1-c45c-44af-a3cd-d024f1ba8d30" ma:anchorId="00000000-0000-0000-0000-000000000000" ma:open="false" ma:isKeyword="false">
      <xsd:complexType>
        <xsd:sequence>
          <xsd:element ref="pc:Terms" minOccurs="0" maxOccurs="1"/>
        </xsd:sequence>
      </xsd:complexType>
    </xsd:element>
    <xsd:element name="o4f6c70134b64a99b8a9c18b6cabc6d3" ma:index="23" nillable="true" ma:taxonomy="true" ma:internalName="o4f6c70134b64a99b8a9c18b6cabc6d3" ma:taxonomyFieldName="Calendar_x0020_Year" ma:displayName="Calendar Year" ma:readOnly="false" ma:default="-1;#2018|26ca1e8c-16e7-413b-b05d-61c89da0dc68" ma:fieldId="{84f6c701-34b6-4a99-b8a9-c18b6cabc6d3}" ma:sspId="7c0fde62-7cba-4014-acb1-76457a673074" ma:termSetId="edba5c96-86f2-4f08-a5c2-e39c740b563b" ma:anchorId="00000000-0000-0000-0000-000000000000" ma:open="true" ma:isKeyword="false">
      <xsd:complexType>
        <xsd:sequence>
          <xsd:element ref="pc:Terms" minOccurs="0" maxOccurs="1"/>
        </xsd:sequence>
      </xsd:complexType>
    </xsd:element>
    <xsd:element name="b78556a5ab004a83993a9660bce6152c" ma:index="24" nillable="true" ma:taxonomy="true" ma:internalName="b78556a5ab004a83993a9660bce6152c" ma:taxonomyFieldName="Audience1" ma:displayName="Audience" ma:readOnly="false" ma:default="-1;#All staff|1a1e0e6e-8d96-4235-ac5f-9f1dcc3600b0" ma:fieldId="{b78556a5-ab00-4a83-993a-9660bce6152c}" ma:taxonomyMulti="true" ma:sspId="7c0fde62-7cba-4014-acb1-76457a673074" ma:termSetId="12a82b95-0313-4ef6-8f09-a1fc7e7a5295" ma:anchorId="00000000-0000-0000-0000-000000000000" ma:open="false" ma:isKeyword="false">
      <xsd:complexType>
        <xsd:sequence>
          <xsd:element ref="pc:Terms" minOccurs="0" maxOccurs="1"/>
        </xsd:sequence>
      </xsd:complexType>
    </xsd:element>
    <xsd:element name="b9ca678d06974d1b9a589aa70f41520a" ma:index="25" nillable="true" ma:taxonomy="true" ma:internalName="b9ca678d06974d1b9a589aa70f41520a" ma:taxonomyFieldName="Countries" ma:displayName="Country" ma:readOnly="false" ma:default="-1;#UK wide|6834a7d2-fb91-47b3-99a3-3181df52306f" ma:fieldId="{b9ca678d-0697-4d1b-9a58-9aa70f41520a}" ma:taxonomyMulti="true" ma:sspId="7c0fde62-7cba-4014-acb1-76457a673074" ma:termSetId="84dafbee-6db0-42d8-9610-c7f28f591f89" ma:anchorId="00000000-0000-0000-0000-000000000000" ma:open="false" ma:isKeyword="false">
      <xsd:complexType>
        <xsd:sequence>
          <xsd:element ref="pc:Terms" minOccurs="0" maxOccurs="1"/>
        </xsd:sequence>
      </xsd:complexType>
    </xsd:element>
    <xsd:element name="j4f12893337a4eac9e2d2c696f543b80" ma:index="26" nillable="true" ma:taxonomy="true" ma:internalName="j4f12893337a4eac9e2d2c696f543b80" ma:taxonomyFieldName="Financial_x0020_year" ma:displayName="Financial year" ma:readOnly="false" ma:fieldId="{34f12893-337a-4eac-9e2d-2c696f543b80}" ma:sspId="7c0fde62-7cba-4014-acb1-76457a673074" ma:termSetId="e63f34e3-1607-4f97-aade-c4ace54ed86c" ma:anchorId="00000000-0000-0000-0000-000000000000" ma:open="true" ma:isKeyword="false">
      <xsd:complexType>
        <xsd:sequence>
          <xsd:element ref="pc:Terms" minOccurs="0" maxOccurs="1"/>
        </xsd:sequence>
      </xsd:complexType>
    </xsd:element>
    <xsd:element name="_dlc_DocId" ma:index="27" nillable="true" ma:displayName="Document ID Value" ma:description="The value of the document ID assigned to this item." ma:indexed="true"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false">
      <xsd:simpleType>
        <xsd:restriction base="dms:Boolean"/>
      </xsd:simpleType>
    </xsd:element>
    <xsd:element name="SharedWithUsers" ma:index="3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90c1d36-e96d-487e-b1f2-864beeb8380e" elementFormDefault="qualified">
    <xsd:import namespace="http://schemas.microsoft.com/office/2006/documentManagement/types"/>
    <xsd:import namespace="http://schemas.microsoft.com/office/infopath/2007/PartnerControls"/>
    <xsd:element name="Original_x0020_Creator" ma:index="18" nillable="true" ma:displayName="Original Creator" ma:internalName="Original_x0020_Creator" ma:readOnly="false">
      <xsd:simpleType>
        <xsd:restriction base="dms:Text"/>
      </xsd:simpleType>
    </xsd:element>
    <xsd:element name="Original_x0020_Modified_x0020_By" ma:index="19" nillable="true" ma:displayName="Original Modified By" ma:internalName="Original_x0020_Modified_x0020_By" ma:readOnly="false">
      <xsd:simpleType>
        <xsd:restriction base="dms:Text"/>
      </xsd:simpleType>
    </xsd:element>
    <xsd:element name="MediaServiceMetadata" ma:index="30" nillable="true" ma:displayName="MediaServiceMetadata" ma:hidden="true" ma:internalName="MediaServiceMetadata" ma:readOnly="true">
      <xsd:simpleType>
        <xsd:restriction base="dms:Note"/>
      </xsd:simpleType>
    </xsd:element>
    <xsd:element name="MediaServiceFastMetadata" ma:index="31" nillable="true" ma:displayName="MediaServiceFastMetadata" ma:hidden="true" ma:internalName="MediaServiceFastMetadata" ma:readOnly="true">
      <xsd:simpleType>
        <xsd:restriction base="dms:Note"/>
      </xsd:simple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ArticleName xmlns="fc73922b-ee12-4d47-9fe9-79c993e89b0c" xsi:nil="true"/>
    <TaxCatchAll xmlns="fc73922b-ee12-4d47-9fe9-79c993e89b0c">
      <Value>12</Value>
      <Value>5</Value>
      <Value>4</Value>
      <Value>22</Value>
      <Value>7</Value>
    </TaxCatchAll>
    <_dlc_DocIdPersistId xmlns="fc73922b-ee12-4d47-9fe9-79c993e89b0c" xsi:nil="true"/>
    <_dlc_DocId xmlns="fc73922b-ee12-4d47-9fe9-79c993e89b0c">TX6SW6SUV4E4-1270033410-1348</_dlc_DocId>
    <_dlc_DocIdUrl xmlns="fc73922b-ee12-4d47-9fe9-79c993e89b0c">
      <Url>https://electoralcommissionorguk.sharepoint.com/teams/TS_CB/_layouts/15/DocIdRedir.aspx?ID=TX6SW6SUV4E4-1270033410-1348</Url>
      <Description>TX6SW6SUV4E4-1270033410-1348</Description>
    </_dlc_DocIdUrl>
    <Original_x0020_Creator xmlns="b90c1d36-e96d-487e-b1f2-864beeb8380e" xsi:nil="true"/>
    <Original_x0020_Modified_x0020_By xmlns="b90c1d36-e96d-487e-b1f2-864beeb8380e" xsi:nil="true"/>
    <o4f6c70134b64a99b8a9c18b6cabc6d3 xmlns="fc73922b-ee12-4d47-9fe9-79c993e89b0c">
      <Terms xmlns="http://schemas.microsoft.com/office/infopath/2007/PartnerControls">
        <TermInfo xmlns="http://schemas.microsoft.com/office/infopath/2007/PartnerControls">
          <TermName xmlns="http://schemas.microsoft.com/office/infopath/2007/PartnerControls">2018</TermName>
          <TermId xmlns="http://schemas.microsoft.com/office/infopath/2007/PartnerControls">26ca1e8c-16e7-413b-b05d-61c89da0dc68</TermId>
        </TermInfo>
      </Terms>
    </o4f6c70134b64a99b8a9c18b6cabc6d3>
    <b9ca678d06974d1b9a589aa70f41520a xmlns="fc73922b-ee12-4d47-9fe9-79c993e89b0c">
      <Terms xmlns="http://schemas.microsoft.com/office/infopath/2007/PartnerControls">
        <TermInfo xmlns="http://schemas.microsoft.com/office/infopath/2007/PartnerControls">
          <TermName xmlns="http://schemas.microsoft.com/office/infopath/2007/PartnerControls">UK wide</TermName>
          <TermId xmlns="http://schemas.microsoft.com/office/infopath/2007/PartnerControls">6834a7d2-fb91-47b3-99a3-3181df52306f</TermId>
        </TermInfo>
      </Terms>
    </b9ca678d06974d1b9a589aa70f41520a>
    <Retention xmlns="fc73922b-ee12-4d47-9fe9-79c993e89b0c">7 years</Retention>
    <b78556a5ab004a83993a9660bce6152c xmlns="fc73922b-ee12-4d47-9fe9-79c993e89b0c">
      <Terms xmlns="http://schemas.microsoft.com/office/infopath/2007/PartnerControls">
        <TermInfo xmlns="http://schemas.microsoft.com/office/infopath/2007/PartnerControls">
          <TermName xmlns="http://schemas.microsoft.com/office/infopath/2007/PartnerControls">All staff</TermName>
          <TermId xmlns="http://schemas.microsoft.com/office/infopath/2007/PartnerControls">1a1e0e6e-8d96-4235-ac5f-9f1dcc3600b0</TermId>
        </TermInfo>
      </Terms>
    </b78556a5ab004a83993a9660bce6152c>
    <Owner xmlns="fc73922b-ee12-4d47-9fe9-79c993e89b0c">
      <UserInfo>
        <DisplayName/>
        <AccountId xsi:nil="true"/>
        <AccountType/>
      </UserInfo>
    </Owner>
    <j5093c87c62f4e2ea96105d295eed61a xmlns="fc73922b-ee12-4d47-9fe9-79c993e89b0c">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77462fb2-11a1-4cd5-8628-4e6081b9477e</TermId>
        </TermInfo>
      </Terms>
    </j5093c87c62f4e2ea96105d295eed61a>
    <k8d136f7c151492e9a8c9a3ff7eb0306 xmlns="fc73922b-ee12-4d47-9fe9-79c993e89b0c">
      <Terms xmlns="http://schemas.microsoft.com/office/infopath/2007/PartnerControls">
        <TermInfo xmlns="http://schemas.microsoft.com/office/infopath/2007/PartnerControls">
          <TermName xmlns="http://schemas.microsoft.com/office/infopath/2007/PartnerControls">Governance</TermName>
          <TermId xmlns="http://schemas.microsoft.com/office/infopath/2007/PartnerControls">7fe9424e-8b28-4402-9b5f-2b8c9e4e83dc</TermId>
        </TermInfo>
      </Terms>
    </k8d136f7c151492e9a8c9a3ff7eb0306>
    <j4f12893337a4eac9e2d2c696f543b80 xmlns="fc73922b-ee12-4d47-9fe9-79c993e89b0c">
      <Terms xmlns="http://schemas.microsoft.com/office/infopath/2007/PartnerControls"/>
    </j4f12893337a4eac9e2d2c696f543b80>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A944141-B6C5-426F-B93C-63B76DAD5B85}">
  <ds:schemaRefs>
    <ds:schemaRef ds:uri="http://schemas.microsoft.com/sharepoint/events"/>
  </ds:schemaRefs>
</ds:datastoreItem>
</file>

<file path=customXml/itemProps2.xml><?xml version="1.0" encoding="utf-8"?>
<ds:datastoreItem xmlns:ds="http://schemas.openxmlformats.org/officeDocument/2006/customXml" ds:itemID="{68ED8E68-37DE-42F4-B206-231D2ACF9080}">
  <ds:schemaRefs>
    <ds:schemaRef ds:uri="http://schemas.openxmlformats.org/officeDocument/2006/bibliography"/>
  </ds:schemaRefs>
</ds:datastoreItem>
</file>

<file path=customXml/itemProps3.xml><?xml version="1.0" encoding="utf-8"?>
<ds:datastoreItem xmlns:ds="http://schemas.openxmlformats.org/officeDocument/2006/customXml" ds:itemID="{2F44D197-A67E-4EC4-B771-79D09E5C57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73922b-ee12-4d47-9fe9-79c993e89b0c"/>
    <ds:schemaRef ds:uri="b90c1d36-e96d-487e-b1f2-864beeb838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AE58763-D22F-40C5-B5D9-A92B53FB1E61}">
  <ds:schemaRefs>
    <ds:schemaRef ds:uri="http://purl.org/dc/dcmitype/"/>
    <ds:schemaRef ds:uri="http://schemas.microsoft.com/office/2006/metadata/properties"/>
    <ds:schemaRef ds:uri="b90c1d36-e96d-487e-b1f2-864beeb8380e"/>
    <ds:schemaRef ds:uri="http://purl.org/dc/elements/1.1/"/>
    <ds:schemaRef ds:uri="http://purl.org/dc/terms/"/>
    <ds:schemaRef ds:uri="http://schemas.microsoft.com/office/2006/documentManagement/types"/>
    <ds:schemaRef ds:uri="http://schemas.openxmlformats.org/package/2006/metadata/core-properties"/>
    <ds:schemaRef ds:uri="fc73922b-ee12-4d47-9fe9-79c993e89b0c"/>
    <ds:schemaRef ds:uri="http://www.w3.org/XML/1998/namespace"/>
    <ds:schemaRef ds:uri="http://schemas.microsoft.com/office/infopath/2007/PartnerControls"/>
  </ds:schemaRefs>
</ds:datastoreItem>
</file>

<file path=customXml/itemProps5.xml><?xml version="1.0" encoding="utf-8"?>
<ds:datastoreItem xmlns:ds="http://schemas.openxmlformats.org/officeDocument/2006/customXml" ds:itemID="{41CC5950-4698-437D-A277-4F1C5BA0E5F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2983</Words>
  <Characters>17005</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Kieran Rix</dc:creator>
  <cp:lastModifiedBy>Zena Khan</cp:lastModifiedBy>
  <cp:revision>2</cp:revision>
  <dcterms:created xsi:type="dcterms:W3CDTF">2024-08-14T15:04:00Z</dcterms:created>
  <dcterms:modified xsi:type="dcterms:W3CDTF">2024-08-14T15:04:00Z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dience1">
    <vt:lpwstr>5;#All staff|1a1e0e6e-8d96-4235-ac5f-9f1dcc3600b0</vt:lpwstr>
  </property>
  <property fmtid="{D5CDD505-2E9C-101B-9397-08002B2CF9AE}" pid="3" name="Board Paper Subject">
    <vt:lpwstr/>
  </property>
  <property fmtid="{D5CDD505-2E9C-101B-9397-08002B2CF9AE}" pid="4" name="Calendar Year">
    <vt:lpwstr>22;#2018|26ca1e8c-16e7-413b-b05d-61c89da0dc68</vt:lpwstr>
  </property>
  <property fmtid="{D5CDD505-2E9C-101B-9397-08002B2CF9AE}" pid="5" name="ContentTypeId">
    <vt:lpwstr>0x01010052338350DC09AB4F825016BFF23A28AD0300A599821790B5B8429098332F56A35315</vt:lpwstr>
  </property>
  <property fmtid="{D5CDD505-2E9C-101B-9397-08002B2CF9AE}" pid="6" name="Countries">
    <vt:lpwstr>4;#UK wide|6834a7d2-fb91-47b3-99a3-3181df52306f</vt:lpwstr>
  </property>
  <property fmtid="{D5CDD505-2E9C-101B-9397-08002B2CF9AE}" pid="7" name="d7e05c9ad6914a3c91fc7c6d52d321c1">
    <vt:lpwstr/>
  </property>
  <property fmtid="{D5CDD505-2E9C-101B-9397-08002B2CF9AE}" pid="8" name="Directorate">
    <vt:lpwstr/>
  </property>
  <property fmtid="{D5CDD505-2E9C-101B-9397-08002B2CF9AE}" pid="9" name="ECSubject">
    <vt:lpwstr>12;#Governance|7fe9424e-8b28-4402-9b5f-2b8c9e4e83dc</vt:lpwstr>
  </property>
  <property fmtid="{D5CDD505-2E9C-101B-9397-08002B2CF9AE}" pid="10" name="Electoral Event">
    <vt:lpwstr/>
  </property>
  <property fmtid="{D5CDD505-2E9C-101B-9397-08002B2CF9AE}" pid="11" name="f9169cbde8cd43d083a6796edf077c19">
    <vt:lpwstr/>
  </property>
  <property fmtid="{D5CDD505-2E9C-101B-9397-08002B2CF9AE}" pid="12" name="Financial year">
    <vt:lpwstr/>
  </property>
  <property fmtid="{D5CDD505-2E9C-101B-9397-08002B2CF9AE}" pid="13" name="GPMS marking">
    <vt:lpwstr>7;#Official|77462fb2-11a1-4cd5-8628-4e6081b9477e</vt:lpwstr>
  </property>
  <property fmtid="{D5CDD505-2E9C-101B-9397-08002B2CF9AE}" pid="14" name="LINKTEK-CHUNK-1">
    <vt:lpwstr>010021{"F":2,"I":"C327-46B0-26F1-51D6"}</vt:lpwstr>
  </property>
  <property fmtid="{D5CDD505-2E9C-101B-9397-08002B2CF9AE}" pid="15" name="Month">
    <vt:lpwstr/>
  </property>
  <property fmtid="{D5CDD505-2E9C-101B-9397-08002B2CF9AE}" pid="16" name="n0ecf30723e04ad4a18670a4e17a3129">
    <vt:lpwstr/>
  </property>
  <property fmtid="{D5CDD505-2E9C-101B-9397-08002B2CF9AE}" pid="17" name="TaxKeyword">
    <vt:lpwstr/>
  </property>
  <property fmtid="{D5CDD505-2E9C-101B-9397-08002B2CF9AE}" pid="18" name="Team">
    <vt:lpwstr/>
  </property>
  <property fmtid="{D5CDD505-2E9C-101B-9397-08002B2CF9AE}" pid="19" name="_dlc_DocIdItemGuid">
    <vt:lpwstr>11f11a44-ee20-4910-a147-a9ae34dfc785</vt:lpwstr>
  </property>
  <property fmtid="{D5CDD505-2E9C-101B-9397-08002B2CF9AE}" pid="20" name="o4f6c70134b64a99b8a9c18b6cabc6d3">
    <vt:lpwstr>2018|26ca1e8c-16e7-413b-b05d-61c89da0dc68</vt:lpwstr>
  </property>
  <property fmtid="{D5CDD505-2E9C-101B-9397-08002B2CF9AE}" pid="21" name="ApprovingBody">
    <vt:lpwstr/>
  </property>
  <property fmtid="{D5CDD505-2E9C-101B-9397-08002B2CF9AE}" pid="22" name="b9ca678d06974d1b9a589aa70f41520a">
    <vt:lpwstr>UK wide|6834a7d2-fb91-47b3-99a3-3181df52306f</vt:lpwstr>
  </property>
  <property fmtid="{D5CDD505-2E9C-101B-9397-08002B2CF9AE}" pid="23" name="PeriodOfReview">
    <vt:lpwstr/>
  </property>
  <property fmtid="{D5CDD505-2E9C-101B-9397-08002B2CF9AE}" pid="24" name="Retention">
    <vt:lpwstr>7 years</vt:lpwstr>
  </property>
  <property fmtid="{D5CDD505-2E9C-101B-9397-08002B2CF9AE}" pid="25" name="b78556a5ab004a83993a9660bce6152c">
    <vt:lpwstr>All staff|1a1e0e6e-8d96-4235-ac5f-9f1dcc3600b0</vt:lpwstr>
  </property>
  <property fmtid="{D5CDD505-2E9C-101B-9397-08002B2CF9AE}" pid="26" name="Owner">
    <vt:lpwstr/>
  </property>
  <property fmtid="{D5CDD505-2E9C-101B-9397-08002B2CF9AE}" pid="27" name="j5093c87c62f4e2ea96105d295eed61a">
    <vt:lpwstr>Official|77462fb2-11a1-4cd5-8628-4e6081b9477e</vt:lpwstr>
  </property>
  <property fmtid="{D5CDD505-2E9C-101B-9397-08002B2CF9AE}" pid="28" name="ProtectiveMarking">
    <vt:lpwstr/>
  </property>
  <property fmtid="{D5CDD505-2E9C-101B-9397-08002B2CF9AE}" pid="29" name="k8d136f7c151492e9a8c9a3ff7eb0306">
    <vt:lpwstr>Governance|7fe9424e-8b28-4402-9b5f-2b8c9e4e83dc</vt:lpwstr>
  </property>
  <property fmtid="{D5CDD505-2E9C-101B-9397-08002B2CF9AE}" pid="30" name="DocumentOwner">
    <vt:lpwstr/>
  </property>
  <property fmtid="{D5CDD505-2E9C-101B-9397-08002B2CF9AE}" pid="31" name="RatedBy">
    <vt:lpwstr/>
  </property>
  <property fmtid="{D5CDD505-2E9C-101B-9397-08002B2CF9AE}" pid="32" name="LikedBy">
    <vt:lpwstr/>
  </property>
</Properties>
</file>