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E4AB5" w14:textId="77777777" w:rsidR="00657A2B" w:rsidRDefault="00E7252E" w:rsidP="00DB6E0A">
      <w:pPr>
        <w:jc w:val="right"/>
      </w:pPr>
      <w:r>
        <w:rPr>
          <w:noProof/>
          <w:lang w:eastAsia="en-GB"/>
        </w:rPr>
        <w:drawing>
          <wp:inline distT="0" distB="0" distL="0" distR="0" wp14:anchorId="3B83BAAD" wp14:editId="479D558A">
            <wp:extent cx="1998345" cy="1159510"/>
            <wp:effectExtent l="0" t="0" r="1905" b="2540"/>
            <wp:docPr id="1" name="Picture 1" descr="The Electoral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Electoral Commission logo"/>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998345" cy="1159510"/>
                    </a:xfrm>
                    <a:prstGeom prst="rect">
                      <a:avLst/>
                    </a:prstGeom>
                    <a:noFill/>
                    <a:ln>
                      <a:noFill/>
                    </a:ln>
                  </pic:spPr>
                </pic:pic>
              </a:graphicData>
            </a:graphic>
          </wp:inline>
        </w:drawing>
      </w:r>
    </w:p>
    <w:p w14:paraId="0A34A3DA" w14:textId="77777777" w:rsidR="00657A2B" w:rsidRDefault="00657A2B"/>
    <w:p w14:paraId="31387091" w14:textId="77777777" w:rsidR="00657A2B" w:rsidRDefault="00657A2B"/>
    <w:p w14:paraId="7E7B8A15" w14:textId="73E2D0A6" w:rsidR="00657A2B" w:rsidRDefault="00E7252E" w:rsidP="00657A2B">
      <w:pPr>
        <w:pStyle w:val="A-head"/>
      </w:pPr>
      <w:r>
        <w:t xml:space="preserve">Tellers dos and don’ts </w:t>
      </w:r>
    </w:p>
    <w:p w14:paraId="646D456E" w14:textId="02DF2DF7" w:rsidR="00657A2B" w:rsidRDefault="00E7252E" w:rsidP="00657A2B">
      <w:pPr>
        <w:pStyle w:val="Default"/>
      </w:pPr>
      <w:r>
        <w:t xml:space="preserve">Tellers are usually volunteers for candidates. They stand outside </w:t>
      </w:r>
      <w:r w:rsidR="0095071D">
        <w:t xml:space="preserve">polling stations or </w:t>
      </w:r>
      <w:r>
        <w:t xml:space="preserve">polling places and record the electoral number of electors who have voted. By identifying electors who have not voted and relaying this information to the candidate or their supporters, tellers play an important role in elections and referendums. The candidate or their supporters may then contact the voters who have not yet been to vote during polling day and </w:t>
      </w:r>
      <w:r w:rsidR="00DB7778">
        <w:t xml:space="preserve">encourage </w:t>
      </w:r>
      <w:r>
        <w:t xml:space="preserve">them to vote. </w:t>
      </w:r>
    </w:p>
    <w:p w14:paraId="4F0D8C43" w14:textId="77777777" w:rsidR="00657A2B" w:rsidRDefault="00657A2B" w:rsidP="00657A2B">
      <w:pPr>
        <w:pStyle w:val="Default"/>
      </w:pPr>
    </w:p>
    <w:p w14:paraId="55CAD77B" w14:textId="77777777" w:rsidR="00657A2B" w:rsidRDefault="00E7252E" w:rsidP="00657A2B">
      <w:pPr>
        <w:pStyle w:val="Default"/>
      </w:pPr>
      <w:r>
        <w:t xml:space="preserve">There should be no more than one teller at a polling station for each candidate at any time. Where a polling place contains more than one polling station with separate entrances, it may be appropriate for there to be tellers at each entrance, but no more than one per candidate. </w:t>
      </w:r>
    </w:p>
    <w:p w14:paraId="61B96E29" w14:textId="77777777" w:rsidR="00657A2B" w:rsidRDefault="00657A2B" w:rsidP="00657A2B">
      <w:pPr>
        <w:pStyle w:val="Default"/>
      </w:pPr>
    </w:p>
    <w:p w14:paraId="21C40AFD" w14:textId="5434AE15" w:rsidR="00657A2B" w:rsidRDefault="00E7252E" w:rsidP="00DB7778">
      <w:r w:rsidRPr="00DB7778">
        <w:rPr>
          <w:b/>
        </w:rPr>
        <w:t>Tellers have no legal status and voters have the right to refuse to give them any information</w:t>
      </w:r>
      <w:r>
        <w:t xml:space="preserve">. </w:t>
      </w:r>
      <w:r w:rsidR="00DB7778">
        <w:t>The Returning Officer or their staff may provide further guidance on the activities of tellers.</w:t>
      </w:r>
    </w:p>
    <w:p w14:paraId="78E65B8E" w14:textId="77777777" w:rsidR="00657A2B" w:rsidRDefault="00657A2B" w:rsidP="00657A2B">
      <w:pPr>
        <w:pStyle w:val="Default"/>
        <w:rPr>
          <w:sz w:val="23"/>
          <w:szCs w:val="23"/>
        </w:rPr>
      </w:pPr>
    </w:p>
    <w:p w14:paraId="73EDA87D" w14:textId="4760B6CB" w:rsidR="00DB7778" w:rsidRDefault="00E7252E" w:rsidP="00DB7778">
      <w:pPr>
        <w:pStyle w:val="B-head"/>
      </w:pPr>
      <w:r>
        <w:t>Tellers must</w:t>
      </w:r>
    </w:p>
    <w:p w14:paraId="41BB68FC" w14:textId="739EDBD6" w:rsidR="00DB7778" w:rsidRDefault="00E7252E" w:rsidP="00DB7778">
      <w:pPr>
        <w:pStyle w:val="Bulletpoints"/>
      </w:pPr>
      <w:r>
        <w:t>a</w:t>
      </w:r>
      <w:r w:rsidR="00657A2B" w:rsidRPr="002E3BC4">
        <w:t>lways remain outside the polling station</w:t>
      </w:r>
    </w:p>
    <w:p w14:paraId="05A441D8" w14:textId="1B60AF4B" w:rsidR="00C53B3D" w:rsidRDefault="00E7252E" w:rsidP="00C53B3D">
      <w:pPr>
        <w:pStyle w:val="Bulletpoints"/>
      </w:pPr>
      <w:r>
        <w:t>o</w:t>
      </w:r>
      <w:r w:rsidR="00657A2B">
        <w:t xml:space="preserve">nly enter the polling station to cast their own vote, to vote as a proxy or to </w:t>
      </w:r>
      <w:r w:rsidR="00A175A4">
        <w:t xml:space="preserve">accompany </w:t>
      </w:r>
      <w:r w:rsidR="00657A2B">
        <w:t xml:space="preserve">a </w:t>
      </w:r>
      <w:r>
        <w:t>disabled voter</w:t>
      </w:r>
      <w:r w:rsidR="00657A2B">
        <w:t xml:space="preserve"> </w:t>
      </w:r>
    </w:p>
    <w:p w14:paraId="4EE09CC6" w14:textId="264D63F0" w:rsidR="00657A2B" w:rsidRDefault="00E7252E" w:rsidP="00C53B3D">
      <w:pPr>
        <w:pStyle w:val="Bulletpoints"/>
      </w:pPr>
      <w:r>
        <w:t>always comply with the instructions of the Returning Officer and Presiding Officer</w:t>
      </w:r>
    </w:p>
    <w:p w14:paraId="19EB3644" w14:textId="0F74DAEC" w:rsidR="00657A2B" w:rsidRDefault="00657A2B" w:rsidP="00657A2B">
      <w:pPr>
        <w:pStyle w:val="Default"/>
        <w:rPr>
          <w:sz w:val="23"/>
          <w:szCs w:val="23"/>
        </w:rPr>
      </w:pPr>
    </w:p>
    <w:p w14:paraId="2BE25B38" w14:textId="77777777" w:rsidR="00C53B3D" w:rsidRDefault="00E7252E" w:rsidP="00C53B3D">
      <w:pPr>
        <w:pStyle w:val="B-head"/>
      </w:pPr>
      <w:r>
        <w:t>Tellers must not</w:t>
      </w:r>
    </w:p>
    <w:p w14:paraId="0D4FD9B8" w14:textId="77777777" w:rsidR="00C53B3D" w:rsidRDefault="00E7252E" w:rsidP="00C53B3D">
      <w:pPr>
        <w:pStyle w:val="Bulletpoints"/>
      </w:pPr>
      <w:r>
        <w:t>b</w:t>
      </w:r>
      <w:r w:rsidR="00657A2B" w:rsidRPr="002E3BC4">
        <w:t>e able to see or hear what is happening inside the</w:t>
      </w:r>
      <w:r>
        <w:t xml:space="preserve"> polling station</w:t>
      </w:r>
      <w:r w:rsidR="00657A2B" w:rsidRPr="002E3BC4">
        <w:t xml:space="preserve"> </w:t>
      </w:r>
    </w:p>
    <w:p w14:paraId="5F68CD67" w14:textId="316F424D" w:rsidR="00C53B3D" w:rsidRDefault="00E7252E" w:rsidP="00C53B3D">
      <w:pPr>
        <w:pStyle w:val="Bulletpoints"/>
      </w:pPr>
      <w:r>
        <w:t>i</w:t>
      </w:r>
      <w:r w:rsidR="00657A2B">
        <w:t>mpede, obstruct or intimidate voters on their way in o</w:t>
      </w:r>
      <w:r>
        <w:t>r out of the polling station</w:t>
      </w:r>
      <w:r w:rsidR="00657A2B">
        <w:t xml:space="preserve"> </w:t>
      </w:r>
    </w:p>
    <w:p w14:paraId="1F110317" w14:textId="37CFEB11" w:rsidR="00C53B3D" w:rsidRDefault="00E7252E" w:rsidP="00C53B3D">
      <w:pPr>
        <w:pStyle w:val="Bulletpoints"/>
      </w:pPr>
      <w:r>
        <w:t>d</w:t>
      </w:r>
      <w:r w:rsidR="00657A2B">
        <w:t xml:space="preserve">emand any information </w:t>
      </w:r>
      <w:r>
        <w:t>relating to a voter’s elector number, name or address</w:t>
      </w:r>
      <w:r w:rsidR="00657A2B">
        <w:t xml:space="preserve"> </w:t>
      </w:r>
    </w:p>
    <w:p w14:paraId="3E79BBB9" w14:textId="770629D8" w:rsidR="00A175A4" w:rsidRDefault="00E7252E" w:rsidP="00C53B3D">
      <w:pPr>
        <w:pStyle w:val="Bulletpoints"/>
      </w:pPr>
      <w:r>
        <w:t>ask to see or check a voter’s photographic ID</w:t>
      </w:r>
    </w:p>
    <w:p w14:paraId="33B37149" w14:textId="77777777" w:rsidR="00C53B3D" w:rsidRDefault="00E7252E" w:rsidP="00C53B3D">
      <w:pPr>
        <w:pStyle w:val="Bulletpoints"/>
      </w:pPr>
      <w:r>
        <w:t>a</w:t>
      </w:r>
      <w:r w:rsidR="00657A2B">
        <w:t>sk voters to re-enter the</w:t>
      </w:r>
      <w:r>
        <w:t xml:space="preserve"> polling station to ascertain their elector number</w:t>
      </w:r>
      <w:r w:rsidR="00657A2B">
        <w:t xml:space="preserve"> </w:t>
      </w:r>
    </w:p>
    <w:p w14:paraId="1B4038D4" w14:textId="426D3849" w:rsidR="00C53B3D" w:rsidRDefault="00E7252E" w:rsidP="00C53B3D">
      <w:pPr>
        <w:pStyle w:val="Bulletpoints"/>
      </w:pPr>
      <w:r>
        <w:t>h</w:t>
      </w:r>
      <w:r w:rsidR="00657A2B">
        <w:t xml:space="preserve">ave discussions with voters that may give </w:t>
      </w:r>
      <w:r>
        <w:t xml:space="preserve">rise to </w:t>
      </w:r>
      <w:r w:rsidR="00657A2B">
        <w:t>allegations of undue influence (e.g. voting intentions</w:t>
      </w:r>
      <w:r w:rsidR="00A175A4">
        <w:t>,</w:t>
      </w:r>
      <w:r>
        <w:t xml:space="preserve"> party affiliations</w:t>
      </w:r>
      <w:r w:rsidR="00A175A4">
        <w:t xml:space="preserve"> or party campaigns</w:t>
      </w:r>
      <w:r>
        <w:t>)</w:t>
      </w:r>
      <w:r w:rsidR="00657A2B">
        <w:t xml:space="preserve"> </w:t>
      </w:r>
    </w:p>
    <w:p w14:paraId="0AB79C45" w14:textId="77777777" w:rsidR="00C53B3D" w:rsidRDefault="00E7252E" w:rsidP="00657A2B">
      <w:pPr>
        <w:pStyle w:val="Bulletpoints"/>
      </w:pPr>
      <w:r>
        <w:t>d</w:t>
      </w:r>
      <w:r w:rsidR="00657A2B">
        <w:t xml:space="preserve">isplay any campaign material in support of or against any </w:t>
      </w:r>
      <w:proofErr w:type="gramStart"/>
      <w:r w:rsidR="00657A2B">
        <w:t>particular political</w:t>
      </w:r>
      <w:proofErr w:type="gramEnd"/>
      <w:r w:rsidR="00657A2B">
        <w:t xml:space="preserve"> party or</w:t>
      </w:r>
      <w:r>
        <w:t xml:space="preserve"> candidate other than a rosette or badge</w:t>
      </w:r>
      <w:r w:rsidR="00657A2B">
        <w:t xml:space="preserve"> </w:t>
      </w:r>
    </w:p>
    <w:p w14:paraId="1C646C53" w14:textId="132922AD" w:rsidR="00657A2B" w:rsidRPr="00C53B3D" w:rsidRDefault="00657A2B" w:rsidP="00C53B3D"/>
    <w:p w14:paraId="2AFA0FF6" w14:textId="77777777" w:rsidR="00C53B3D" w:rsidRDefault="00E7252E" w:rsidP="00C53B3D">
      <w:pPr>
        <w:pStyle w:val="B-head"/>
      </w:pPr>
      <w:r>
        <w:t>Tellers may</w:t>
      </w:r>
      <w:r w:rsidR="00657A2B" w:rsidRPr="002E3BC4">
        <w:t xml:space="preserve"> </w:t>
      </w:r>
    </w:p>
    <w:p w14:paraId="379A62BC" w14:textId="4F468486" w:rsidR="00C53B3D" w:rsidRDefault="00E7252E" w:rsidP="00C53B3D">
      <w:pPr>
        <w:pStyle w:val="Bulletpoints"/>
      </w:pPr>
      <w:r>
        <w:lastRenderedPageBreak/>
        <w:t>a</w:t>
      </w:r>
      <w:r w:rsidR="00657A2B" w:rsidRPr="002E3BC4">
        <w:t>pproach voters for information</w:t>
      </w:r>
      <w:r w:rsidR="00112D15">
        <w:t xml:space="preserve"> in accordance with instructions from the Returning Office and Presiding Officer</w:t>
      </w:r>
      <w:r w:rsidR="00657A2B" w:rsidRPr="002E3BC4">
        <w:t xml:space="preserve"> </w:t>
      </w:r>
    </w:p>
    <w:p w14:paraId="07AFA6D3" w14:textId="53A7B789" w:rsidR="0054186F" w:rsidRDefault="00E7252E" w:rsidP="00C53B3D">
      <w:pPr>
        <w:pStyle w:val="Bulletpoints"/>
      </w:pPr>
      <w:r>
        <w:t>d</w:t>
      </w:r>
      <w:r w:rsidR="00657A2B">
        <w:t>isplay a coloured rosette</w:t>
      </w:r>
      <w:r>
        <w:t xml:space="preserve"> or badge</w:t>
      </w:r>
      <w:r w:rsidR="00657A2B">
        <w:t xml:space="preserve"> displaying the name of the candidate</w:t>
      </w:r>
      <w:r>
        <w:t>,</w:t>
      </w:r>
      <w:r w:rsidR="00657A2B">
        <w:t xml:space="preserve"> party</w:t>
      </w:r>
      <w:r>
        <w:t xml:space="preserve"> and/or emblem</w:t>
      </w:r>
      <w:r w:rsidR="006B7FDA">
        <w:t xml:space="preserve"> or description</w:t>
      </w:r>
      <w:r>
        <w:t>;</w:t>
      </w:r>
      <w:r w:rsidR="00657A2B">
        <w:t xml:space="preserve"> the rosette</w:t>
      </w:r>
      <w:r>
        <w:t>/badge</w:t>
      </w:r>
      <w:r w:rsidR="00657A2B">
        <w:t xml:space="preserve"> </w:t>
      </w:r>
      <w:r>
        <w:t xml:space="preserve">should not bear a slogan and </w:t>
      </w:r>
      <w:r w:rsidR="00657A2B">
        <w:t>must not be oversized</w:t>
      </w:r>
    </w:p>
    <w:p w14:paraId="2C66A87D" w14:textId="566ADC50" w:rsidR="00A175A4" w:rsidRDefault="00E7252E" w:rsidP="00C53B3D">
      <w:pPr>
        <w:pStyle w:val="Bulletpoints"/>
      </w:pPr>
      <w:r>
        <w:t>remind electors as they approach the polling station that they need to provide photographic ID</w:t>
      </w:r>
    </w:p>
    <w:sectPr w:rsidR="00A175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s721 Lt BT">
    <w:altName w:val="Courier New"/>
    <w:panose1 w:val="00000000000000000000"/>
    <w:charset w:val="00"/>
    <w:family w:val="swiss"/>
    <w:notTrueType/>
    <w:pitch w:val="variable"/>
    <w:sig w:usb0="00000003" w:usb1="00000000" w:usb2="00000000" w:usb3="00000000" w:csb0="00000001" w:csb1="00000000"/>
  </w:font>
  <w:font w:name="Swis721 BT">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50312"/>
    <w:multiLevelType w:val="hybridMultilevel"/>
    <w:tmpl w:val="40348CFC"/>
    <w:lvl w:ilvl="0" w:tplc="2C1A4B7C">
      <w:start w:val="1"/>
      <w:numFmt w:val="bullet"/>
      <w:pStyle w:val="Boxbulletpoints"/>
      <w:lvlText w:val=""/>
      <w:lvlJc w:val="left"/>
      <w:pPr>
        <w:ind w:left="720" w:hanging="360"/>
      </w:pPr>
      <w:rPr>
        <w:rFonts w:ascii="Symbol" w:hAnsi="Symbol" w:hint="default"/>
        <w:color w:val="0099CC"/>
      </w:rPr>
    </w:lvl>
    <w:lvl w:ilvl="1" w:tplc="501CA800" w:tentative="1">
      <w:start w:val="1"/>
      <w:numFmt w:val="bullet"/>
      <w:lvlText w:val="o"/>
      <w:lvlJc w:val="left"/>
      <w:pPr>
        <w:ind w:left="1440" w:hanging="360"/>
      </w:pPr>
      <w:rPr>
        <w:rFonts w:ascii="Courier New" w:hAnsi="Courier New" w:cs="Courier New" w:hint="default"/>
      </w:rPr>
    </w:lvl>
    <w:lvl w:ilvl="2" w:tplc="8150495A" w:tentative="1">
      <w:start w:val="1"/>
      <w:numFmt w:val="bullet"/>
      <w:lvlText w:val=""/>
      <w:lvlJc w:val="left"/>
      <w:pPr>
        <w:ind w:left="2160" w:hanging="360"/>
      </w:pPr>
      <w:rPr>
        <w:rFonts w:ascii="Wingdings" w:hAnsi="Wingdings" w:hint="default"/>
      </w:rPr>
    </w:lvl>
    <w:lvl w:ilvl="3" w:tplc="81B8FF40" w:tentative="1">
      <w:start w:val="1"/>
      <w:numFmt w:val="bullet"/>
      <w:lvlText w:val=""/>
      <w:lvlJc w:val="left"/>
      <w:pPr>
        <w:ind w:left="2880" w:hanging="360"/>
      </w:pPr>
      <w:rPr>
        <w:rFonts w:ascii="Symbol" w:hAnsi="Symbol" w:hint="default"/>
      </w:rPr>
    </w:lvl>
    <w:lvl w:ilvl="4" w:tplc="D8C48CC4" w:tentative="1">
      <w:start w:val="1"/>
      <w:numFmt w:val="bullet"/>
      <w:lvlText w:val="o"/>
      <w:lvlJc w:val="left"/>
      <w:pPr>
        <w:ind w:left="3600" w:hanging="360"/>
      </w:pPr>
      <w:rPr>
        <w:rFonts w:ascii="Courier New" w:hAnsi="Courier New" w:cs="Courier New" w:hint="default"/>
      </w:rPr>
    </w:lvl>
    <w:lvl w:ilvl="5" w:tplc="A67A0A0E" w:tentative="1">
      <w:start w:val="1"/>
      <w:numFmt w:val="bullet"/>
      <w:lvlText w:val=""/>
      <w:lvlJc w:val="left"/>
      <w:pPr>
        <w:ind w:left="4320" w:hanging="360"/>
      </w:pPr>
      <w:rPr>
        <w:rFonts w:ascii="Wingdings" w:hAnsi="Wingdings" w:hint="default"/>
      </w:rPr>
    </w:lvl>
    <w:lvl w:ilvl="6" w:tplc="1F648E16" w:tentative="1">
      <w:start w:val="1"/>
      <w:numFmt w:val="bullet"/>
      <w:lvlText w:val=""/>
      <w:lvlJc w:val="left"/>
      <w:pPr>
        <w:ind w:left="5040" w:hanging="360"/>
      </w:pPr>
      <w:rPr>
        <w:rFonts w:ascii="Symbol" w:hAnsi="Symbol" w:hint="default"/>
      </w:rPr>
    </w:lvl>
    <w:lvl w:ilvl="7" w:tplc="534E539A" w:tentative="1">
      <w:start w:val="1"/>
      <w:numFmt w:val="bullet"/>
      <w:lvlText w:val="o"/>
      <w:lvlJc w:val="left"/>
      <w:pPr>
        <w:ind w:left="5760" w:hanging="360"/>
      </w:pPr>
      <w:rPr>
        <w:rFonts w:ascii="Courier New" w:hAnsi="Courier New" w:cs="Courier New" w:hint="default"/>
      </w:rPr>
    </w:lvl>
    <w:lvl w:ilvl="8" w:tplc="A7F84B82" w:tentative="1">
      <w:start w:val="1"/>
      <w:numFmt w:val="bullet"/>
      <w:lvlText w:val=""/>
      <w:lvlJc w:val="left"/>
      <w:pPr>
        <w:ind w:left="6480" w:hanging="360"/>
      </w:pPr>
      <w:rPr>
        <w:rFonts w:ascii="Wingdings" w:hAnsi="Wingdings" w:hint="default"/>
      </w:rPr>
    </w:lvl>
  </w:abstractNum>
  <w:abstractNum w:abstractNumId="1" w15:restartNumberingAfterBreak="0">
    <w:nsid w:val="71547461"/>
    <w:multiLevelType w:val="hybridMultilevel"/>
    <w:tmpl w:val="3F7038F4"/>
    <w:lvl w:ilvl="0" w:tplc="CDCEE738">
      <w:start w:val="1"/>
      <w:numFmt w:val="bullet"/>
      <w:pStyle w:val="Bulletpoints"/>
      <w:lvlText w:val=""/>
      <w:lvlJc w:val="left"/>
      <w:pPr>
        <w:ind w:left="720" w:hanging="360"/>
      </w:pPr>
      <w:rPr>
        <w:rFonts w:ascii="Symbol" w:hAnsi="Symbol" w:hint="default"/>
        <w:color w:val="0099CC"/>
      </w:rPr>
    </w:lvl>
    <w:lvl w:ilvl="1" w:tplc="16FC0DDA" w:tentative="1">
      <w:start w:val="1"/>
      <w:numFmt w:val="bullet"/>
      <w:lvlText w:val="o"/>
      <w:lvlJc w:val="left"/>
      <w:pPr>
        <w:ind w:left="1440" w:hanging="360"/>
      </w:pPr>
      <w:rPr>
        <w:rFonts w:ascii="Courier New" w:hAnsi="Courier New" w:cs="Courier New" w:hint="default"/>
      </w:rPr>
    </w:lvl>
    <w:lvl w:ilvl="2" w:tplc="B11287DC" w:tentative="1">
      <w:start w:val="1"/>
      <w:numFmt w:val="bullet"/>
      <w:lvlText w:val=""/>
      <w:lvlJc w:val="left"/>
      <w:pPr>
        <w:ind w:left="2160" w:hanging="360"/>
      </w:pPr>
      <w:rPr>
        <w:rFonts w:ascii="Wingdings" w:hAnsi="Wingdings" w:hint="default"/>
      </w:rPr>
    </w:lvl>
    <w:lvl w:ilvl="3" w:tplc="A18025B6" w:tentative="1">
      <w:start w:val="1"/>
      <w:numFmt w:val="bullet"/>
      <w:lvlText w:val=""/>
      <w:lvlJc w:val="left"/>
      <w:pPr>
        <w:ind w:left="2880" w:hanging="360"/>
      </w:pPr>
      <w:rPr>
        <w:rFonts w:ascii="Symbol" w:hAnsi="Symbol" w:hint="default"/>
      </w:rPr>
    </w:lvl>
    <w:lvl w:ilvl="4" w:tplc="37A88182" w:tentative="1">
      <w:start w:val="1"/>
      <w:numFmt w:val="bullet"/>
      <w:lvlText w:val="o"/>
      <w:lvlJc w:val="left"/>
      <w:pPr>
        <w:ind w:left="3600" w:hanging="360"/>
      </w:pPr>
      <w:rPr>
        <w:rFonts w:ascii="Courier New" w:hAnsi="Courier New" w:cs="Courier New" w:hint="default"/>
      </w:rPr>
    </w:lvl>
    <w:lvl w:ilvl="5" w:tplc="D408CBFA" w:tentative="1">
      <w:start w:val="1"/>
      <w:numFmt w:val="bullet"/>
      <w:lvlText w:val=""/>
      <w:lvlJc w:val="left"/>
      <w:pPr>
        <w:ind w:left="4320" w:hanging="360"/>
      </w:pPr>
      <w:rPr>
        <w:rFonts w:ascii="Wingdings" w:hAnsi="Wingdings" w:hint="default"/>
      </w:rPr>
    </w:lvl>
    <w:lvl w:ilvl="6" w:tplc="CD70E890" w:tentative="1">
      <w:start w:val="1"/>
      <w:numFmt w:val="bullet"/>
      <w:lvlText w:val=""/>
      <w:lvlJc w:val="left"/>
      <w:pPr>
        <w:ind w:left="5040" w:hanging="360"/>
      </w:pPr>
      <w:rPr>
        <w:rFonts w:ascii="Symbol" w:hAnsi="Symbol" w:hint="default"/>
      </w:rPr>
    </w:lvl>
    <w:lvl w:ilvl="7" w:tplc="65109A7C" w:tentative="1">
      <w:start w:val="1"/>
      <w:numFmt w:val="bullet"/>
      <w:lvlText w:val="o"/>
      <w:lvlJc w:val="left"/>
      <w:pPr>
        <w:ind w:left="5760" w:hanging="360"/>
      </w:pPr>
      <w:rPr>
        <w:rFonts w:ascii="Courier New" w:hAnsi="Courier New" w:cs="Courier New" w:hint="default"/>
      </w:rPr>
    </w:lvl>
    <w:lvl w:ilvl="8" w:tplc="185CE9A6" w:tentative="1">
      <w:start w:val="1"/>
      <w:numFmt w:val="bullet"/>
      <w:lvlText w:val=""/>
      <w:lvlJc w:val="left"/>
      <w:pPr>
        <w:ind w:left="6480" w:hanging="360"/>
      </w:pPr>
      <w:rPr>
        <w:rFonts w:ascii="Wingdings" w:hAnsi="Wingdings" w:hint="default"/>
      </w:rPr>
    </w:lvl>
  </w:abstractNum>
  <w:abstractNum w:abstractNumId="2" w15:restartNumberingAfterBreak="0">
    <w:nsid w:val="7D8F1BBC"/>
    <w:multiLevelType w:val="multilevel"/>
    <w:tmpl w:val="E26C093E"/>
    <w:lvl w:ilvl="0">
      <w:start w:val="1"/>
      <w:numFmt w:val="decimal"/>
      <w:pStyle w:val="Chapterhead"/>
      <w:lvlText w:val="%1"/>
      <w:lvlJc w:val="left"/>
      <w:pPr>
        <w:ind w:left="720" w:hanging="360"/>
      </w:pPr>
      <w:rPr>
        <w:rFonts w:hint="default"/>
      </w:rPr>
    </w:lvl>
    <w:lvl w:ilvl="1">
      <w:start w:val="1"/>
      <w:numFmt w:val="decimal"/>
      <w:pStyle w:val="Paranumber"/>
      <w:isLgl/>
      <w:lvlText w:val="%1.%2"/>
      <w:lvlJc w:val="left"/>
      <w:pPr>
        <w:ind w:left="1080" w:hanging="720"/>
      </w:pPr>
      <w:rPr>
        <w:b w:val="0"/>
        <w:bCs w:val="0"/>
        <w:i w:val="0"/>
        <w:iCs w:val="0"/>
        <w:caps w:val="0"/>
        <w:smallCaps w:val="0"/>
        <w:strike w:val="0"/>
        <w:dstrike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2084990320">
    <w:abstractNumId w:val="2"/>
  </w:num>
  <w:num w:numId="2" w16cid:durableId="1174226671">
    <w:abstractNumId w:val="2"/>
  </w:num>
  <w:num w:numId="3" w16cid:durableId="545143615">
    <w:abstractNumId w:val="1"/>
  </w:num>
  <w:num w:numId="4" w16cid:durableId="12613041">
    <w:abstractNumId w:val="0"/>
  </w:num>
  <w:num w:numId="5" w16cid:durableId="1874686826">
    <w:abstractNumId w:val="2"/>
  </w:num>
  <w:num w:numId="6" w16cid:durableId="718549483">
    <w:abstractNumId w:val="2"/>
  </w:num>
  <w:num w:numId="7" w16cid:durableId="1447891813">
    <w:abstractNumId w:val="1"/>
  </w:num>
  <w:num w:numId="8" w16cid:durableId="2045711218">
    <w:abstractNumId w:val="0"/>
  </w:num>
  <w:num w:numId="9" w16cid:durableId="916862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A2B"/>
    <w:rsid w:val="000D76CA"/>
    <w:rsid w:val="00112D15"/>
    <w:rsid w:val="001711C1"/>
    <w:rsid w:val="00233876"/>
    <w:rsid w:val="00266474"/>
    <w:rsid w:val="002A118B"/>
    <w:rsid w:val="002E3BC4"/>
    <w:rsid w:val="00351F31"/>
    <w:rsid w:val="003871DA"/>
    <w:rsid w:val="00426269"/>
    <w:rsid w:val="00501758"/>
    <w:rsid w:val="0054186F"/>
    <w:rsid w:val="00657A2B"/>
    <w:rsid w:val="006B7FDA"/>
    <w:rsid w:val="007B30B8"/>
    <w:rsid w:val="007D6F9C"/>
    <w:rsid w:val="008654A1"/>
    <w:rsid w:val="00873B39"/>
    <w:rsid w:val="0095071D"/>
    <w:rsid w:val="00A175A4"/>
    <w:rsid w:val="00A36823"/>
    <w:rsid w:val="00A476FD"/>
    <w:rsid w:val="00AE1CD8"/>
    <w:rsid w:val="00B24AFF"/>
    <w:rsid w:val="00C53B3D"/>
    <w:rsid w:val="00DA1F36"/>
    <w:rsid w:val="00DB6E0A"/>
    <w:rsid w:val="00DB7778"/>
    <w:rsid w:val="00E7252E"/>
    <w:rsid w:val="00EC08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A073"/>
  <w15:docId w15:val="{E0E1E978-3C34-420F-AD8F-491F3AD65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1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A-head">
    <w:name w:val="*EC_A-head"/>
    <w:basedOn w:val="Normal"/>
    <w:link w:val="ECA-headCharChar"/>
    <w:rsid w:val="00B24AFF"/>
    <w:pPr>
      <w:tabs>
        <w:tab w:val="left" w:pos="1389"/>
      </w:tabs>
      <w:spacing w:after="400"/>
      <w:outlineLvl w:val="0"/>
    </w:pPr>
    <w:rPr>
      <w:color w:val="003366"/>
      <w:sz w:val="60"/>
    </w:rPr>
  </w:style>
  <w:style w:type="character" w:customStyle="1" w:styleId="ECA-headCharChar">
    <w:name w:val="*EC_A-head Char Char"/>
    <w:link w:val="ECA-head"/>
    <w:rsid w:val="00B24AFF"/>
    <w:rPr>
      <w:rFonts w:eastAsia="Times New Roman" w:cs="Times New Roman"/>
      <w:color w:val="003366"/>
      <w:sz w:val="60"/>
      <w:szCs w:val="24"/>
    </w:rPr>
  </w:style>
  <w:style w:type="paragraph" w:customStyle="1" w:styleId="ECB-head">
    <w:name w:val="*EC_B-head"/>
    <w:basedOn w:val="Normal"/>
    <w:link w:val="ECB-headCharChar"/>
    <w:rsid w:val="00B24AFF"/>
    <w:pPr>
      <w:keepNext/>
      <w:spacing w:after="240"/>
      <w:outlineLvl w:val="2"/>
    </w:pPr>
    <w:rPr>
      <w:rFonts w:ascii="Swis721 Lt BT" w:hAnsi="Swis721 Lt BT"/>
      <w:color w:val="0099CC"/>
      <w:sz w:val="32"/>
    </w:rPr>
  </w:style>
  <w:style w:type="character" w:customStyle="1" w:styleId="ECB-headCharChar">
    <w:name w:val="*EC_B-head Char Char"/>
    <w:link w:val="ECB-head"/>
    <w:rsid w:val="00B24AFF"/>
    <w:rPr>
      <w:rFonts w:ascii="Swis721 Lt BT" w:eastAsia="Times New Roman" w:hAnsi="Swis721 Lt BT" w:cs="Times New Roman"/>
      <w:color w:val="0099CC"/>
      <w:sz w:val="32"/>
      <w:szCs w:val="24"/>
    </w:rPr>
  </w:style>
  <w:style w:type="paragraph" w:customStyle="1" w:styleId="ECchapterhead">
    <w:name w:val="*EC_chapterhead"/>
    <w:basedOn w:val="Normal"/>
    <w:rsid w:val="00B24AFF"/>
    <w:pPr>
      <w:tabs>
        <w:tab w:val="num" w:pos="1391"/>
      </w:tabs>
      <w:spacing w:after="400"/>
      <w:ind w:left="540"/>
      <w:outlineLvl w:val="0"/>
    </w:pPr>
    <w:rPr>
      <w:rFonts w:ascii="Swis721 Lt BT" w:hAnsi="Swis721 Lt BT"/>
      <w:color w:val="003366"/>
      <w:sz w:val="60"/>
    </w:rPr>
  </w:style>
  <w:style w:type="paragraph" w:customStyle="1" w:styleId="ECC-head">
    <w:name w:val="*EC_C-head"/>
    <w:basedOn w:val="Normal"/>
    <w:link w:val="ECC-headCharChar"/>
    <w:rsid w:val="00B24AFF"/>
    <w:pPr>
      <w:keepNext/>
    </w:pPr>
    <w:rPr>
      <w:rFonts w:ascii="Swis721 BT" w:hAnsi="Swis721 BT"/>
      <w:b/>
      <w:bCs/>
      <w:color w:val="003366"/>
    </w:rPr>
  </w:style>
  <w:style w:type="character" w:customStyle="1" w:styleId="ECC-headCharChar">
    <w:name w:val="*EC_C-head Char Char"/>
    <w:link w:val="ECC-head"/>
    <w:rsid w:val="00B24AFF"/>
    <w:rPr>
      <w:rFonts w:ascii="Swis721 BT" w:eastAsia="Times New Roman" w:hAnsi="Swis721 BT" w:cs="Times New Roman"/>
      <w:b/>
      <w:bCs/>
      <w:color w:val="003366"/>
      <w:szCs w:val="24"/>
    </w:rPr>
  </w:style>
  <w:style w:type="paragraph" w:customStyle="1" w:styleId="Chapterhead">
    <w:name w:val="Chapterhead"/>
    <w:qFormat/>
    <w:rsid w:val="003871DA"/>
    <w:pPr>
      <w:numPr>
        <w:numId w:val="9"/>
      </w:numPr>
      <w:tabs>
        <w:tab w:val="left" w:pos="1389"/>
      </w:tabs>
      <w:spacing w:after="400"/>
    </w:pPr>
    <w:rPr>
      <w:color w:val="003366"/>
      <w:sz w:val="60"/>
    </w:rPr>
  </w:style>
  <w:style w:type="paragraph" w:customStyle="1" w:styleId="A-head">
    <w:name w:val="A-head"/>
    <w:qFormat/>
    <w:rsid w:val="003871DA"/>
    <w:pPr>
      <w:spacing w:after="240"/>
    </w:pPr>
    <w:rPr>
      <w:color w:val="003366"/>
      <w:sz w:val="48"/>
      <w:lang w:val="sv-FI"/>
    </w:rPr>
  </w:style>
  <w:style w:type="paragraph" w:customStyle="1" w:styleId="B-head">
    <w:name w:val="B-head"/>
    <w:qFormat/>
    <w:rsid w:val="003871DA"/>
    <w:pPr>
      <w:spacing w:after="240"/>
    </w:pPr>
    <w:rPr>
      <w:color w:val="0099CC"/>
      <w:sz w:val="36"/>
      <w:lang w:val="sv-FI"/>
    </w:rPr>
  </w:style>
  <w:style w:type="paragraph" w:customStyle="1" w:styleId="C-head">
    <w:name w:val="C-head"/>
    <w:qFormat/>
    <w:rsid w:val="003871DA"/>
    <w:rPr>
      <w:b/>
      <w:color w:val="003366"/>
      <w:lang w:val="sv-FI"/>
    </w:rPr>
  </w:style>
  <w:style w:type="paragraph" w:customStyle="1" w:styleId="Bulletpoints">
    <w:name w:val="Bullet points"/>
    <w:qFormat/>
    <w:rsid w:val="00DB7778"/>
    <w:pPr>
      <w:numPr>
        <w:numId w:val="7"/>
      </w:numPr>
      <w:tabs>
        <w:tab w:val="left" w:pos="567"/>
      </w:tabs>
      <w:ind w:left="567" w:hanging="567"/>
    </w:pPr>
  </w:style>
  <w:style w:type="paragraph" w:customStyle="1" w:styleId="Boxtext">
    <w:name w:val="Box text"/>
    <w:qFormat/>
    <w:rsid w:val="003871DA"/>
    <w:pPr>
      <w:pBdr>
        <w:top w:val="single" w:sz="4" w:space="1" w:color="0099CC"/>
        <w:left w:val="single" w:sz="4" w:space="4" w:color="0099CC"/>
        <w:bottom w:val="single" w:sz="4" w:space="1" w:color="0099CC"/>
        <w:right w:val="single" w:sz="4" w:space="4" w:color="0099CC"/>
      </w:pBdr>
      <w:tabs>
        <w:tab w:val="left" w:pos="567"/>
      </w:tabs>
      <w:spacing w:after="240"/>
    </w:pPr>
  </w:style>
  <w:style w:type="paragraph" w:customStyle="1" w:styleId="Boxbulletpoints">
    <w:name w:val="Box bullet points"/>
    <w:basedOn w:val="Boxtext"/>
    <w:qFormat/>
    <w:rsid w:val="003871DA"/>
    <w:pPr>
      <w:numPr>
        <w:numId w:val="8"/>
      </w:numPr>
      <w:spacing w:after="0"/>
    </w:pPr>
  </w:style>
  <w:style w:type="paragraph" w:customStyle="1" w:styleId="Paranonumber">
    <w:name w:val="Para_no_number"/>
    <w:qFormat/>
    <w:rsid w:val="003871DA"/>
    <w:pPr>
      <w:keepNext/>
      <w:widowControl w:val="0"/>
    </w:pPr>
  </w:style>
  <w:style w:type="paragraph" w:customStyle="1" w:styleId="ContentsA-head">
    <w:name w:val="Contents A-head"/>
    <w:basedOn w:val="Paranonumber"/>
    <w:qFormat/>
    <w:rsid w:val="003871DA"/>
    <w:pPr>
      <w:tabs>
        <w:tab w:val="left" w:pos="567"/>
      </w:tabs>
      <w:ind w:left="567"/>
    </w:pPr>
  </w:style>
  <w:style w:type="paragraph" w:customStyle="1" w:styleId="Contentschapterhead">
    <w:name w:val="Contents chapterhead"/>
    <w:qFormat/>
    <w:rsid w:val="003871DA"/>
    <w:pPr>
      <w:tabs>
        <w:tab w:val="left" w:pos="851"/>
      </w:tabs>
      <w:spacing w:after="20"/>
    </w:pPr>
    <w:rPr>
      <w:color w:val="003366"/>
    </w:rPr>
  </w:style>
  <w:style w:type="paragraph" w:customStyle="1" w:styleId="Contentspagenumber">
    <w:name w:val="Contents page number"/>
    <w:basedOn w:val="Contentschapterhead"/>
    <w:qFormat/>
    <w:rsid w:val="003871DA"/>
    <w:pPr>
      <w:jc w:val="right"/>
    </w:pPr>
  </w:style>
  <w:style w:type="paragraph" w:customStyle="1" w:styleId="ECtablecolumnheading">
    <w:name w:val="EC table column heading"/>
    <w:basedOn w:val="Normal"/>
    <w:qFormat/>
    <w:rsid w:val="003871DA"/>
    <w:rPr>
      <w:b/>
      <w:color w:val="003366"/>
    </w:rPr>
  </w:style>
  <w:style w:type="paragraph" w:customStyle="1" w:styleId="Weblink">
    <w:name w:val="Weblink"/>
    <w:qFormat/>
    <w:rsid w:val="003871DA"/>
    <w:rPr>
      <w:color w:val="003366"/>
      <w:u w:val="single"/>
    </w:rPr>
  </w:style>
  <w:style w:type="paragraph" w:customStyle="1" w:styleId="Paranumber">
    <w:name w:val="Para_number"/>
    <w:basedOn w:val="Normal"/>
    <w:qFormat/>
    <w:rsid w:val="003871DA"/>
    <w:pPr>
      <w:numPr>
        <w:ilvl w:val="1"/>
        <w:numId w:val="9"/>
      </w:numPr>
      <w:tabs>
        <w:tab w:val="left" w:pos="567"/>
      </w:tabs>
      <w:spacing w:after="240"/>
    </w:pPr>
  </w:style>
  <w:style w:type="paragraph" w:styleId="ListParagraph">
    <w:name w:val="List Paragraph"/>
    <w:basedOn w:val="Normal"/>
    <w:uiPriority w:val="34"/>
    <w:qFormat/>
    <w:rsid w:val="003871DA"/>
    <w:pPr>
      <w:ind w:left="720"/>
      <w:contextualSpacing/>
    </w:pPr>
  </w:style>
  <w:style w:type="paragraph" w:customStyle="1" w:styleId="Default">
    <w:name w:val="Default"/>
    <w:rsid w:val="00657A2B"/>
    <w:pPr>
      <w:widowControl w:val="0"/>
      <w:autoSpaceDE w:val="0"/>
      <w:autoSpaceDN w:val="0"/>
      <w:adjustRightInd w:val="0"/>
    </w:pPr>
    <w:rPr>
      <w:rFonts w:cs="Arial"/>
      <w:color w:val="000000"/>
      <w:lang w:eastAsia="en-GB"/>
    </w:rPr>
  </w:style>
  <w:style w:type="paragraph" w:customStyle="1" w:styleId="Boxtextheading">
    <w:name w:val="Box text heading"/>
    <w:basedOn w:val="Boxtext"/>
    <w:qFormat/>
    <w:rsid w:val="00657A2B"/>
    <w:rPr>
      <w:b/>
      <w:color w:val="003366"/>
    </w:rPr>
  </w:style>
  <w:style w:type="character" w:styleId="CommentReference">
    <w:name w:val="annotation reference"/>
    <w:basedOn w:val="DefaultParagraphFont"/>
    <w:uiPriority w:val="99"/>
    <w:semiHidden/>
    <w:unhideWhenUsed/>
    <w:rsid w:val="00DB7778"/>
    <w:rPr>
      <w:sz w:val="16"/>
      <w:szCs w:val="16"/>
    </w:rPr>
  </w:style>
  <w:style w:type="paragraph" w:styleId="CommentText">
    <w:name w:val="annotation text"/>
    <w:basedOn w:val="Normal"/>
    <w:link w:val="CommentTextChar"/>
    <w:uiPriority w:val="99"/>
    <w:semiHidden/>
    <w:unhideWhenUsed/>
    <w:rsid w:val="00DB7778"/>
    <w:rPr>
      <w:sz w:val="20"/>
      <w:szCs w:val="20"/>
    </w:rPr>
  </w:style>
  <w:style w:type="character" w:customStyle="1" w:styleId="CommentTextChar">
    <w:name w:val="Comment Text Char"/>
    <w:basedOn w:val="DefaultParagraphFont"/>
    <w:link w:val="CommentText"/>
    <w:uiPriority w:val="99"/>
    <w:semiHidden/>
    <w:rsid w:val="00DB7778"/>
    <w:rPr>
      <w:sz w:val="20"/>
      <w:szCs w:val="20"/>
    </w:rPr>
  </w:style>
  <w:style w:type="paragraph" w:styleId="CommentSubject">
    <w:name w:val="annotation subject"/>
    <w:basedOn w:val="CommentText"/>
    <w:next w:val="CommentText"/>
    <w:link w:val="CommentSubjectChar"/>
    <w:uiPriority w:val="99"/>
    <w:semiHidden/>
    <w:unhideWhenUsed/>
    <w:rsid w:val="00DB7778"/>
    <w:rPr>
      <w:b/>
      <w:bCs/>
    </w:rPr>
  </w:style>
  <w:style w:type="character" w:customStyle="1" w:styleId="CommentSubjectChar">
    <w:name w:val="Comment Subject Char"/>
    <w:basedOn w:val="CommentTextChar"/>
    <w:link w:val="CommentSubject"/>
    <w:uiPriority w:val="99"/>
    <w:semiHidden/>
    <w:rsid w:val="00DB7778"/>
    <w:rPr>
      <w:b/>
      <w:bCs/>
      <w:sz w:val="20"/>
      <w:szCs w:val="20"/>
    </w:rPr>
  </w:style>
  <w:style w:type="paragraph" w:styleId="BalloonText">
    <w:name w:val="Balloon Text"/>
    <w:basedOn w:val="Normal"/>
    <w:link w:val="BalloonTextChar"/>
    <w:uiPriority w:val="99"/>
    <w:semiHidden/>
    <w:unhideWhenUsed/>
    <w:rsid w:val="00DB7778"/>
    <w:rPr>
      <w:rFonts w:ascii="Tahoma" w:hAnsi="Tahoma" w:cs="Tahoma"/>
      <w:sz w:val="16"/>
      <w:szCs w:val="16"/>
    </w:rPr>
  </w:style>
  <w:style w:type="character" w:customStyle="1" w:styleId="BalloonTextChar">
    <w:name w:val="Balloon Text Char"/>
    <w:basedOn w:val="DefaultParagraphFont"/>
    <w:link w:val="BalloonText"/>
    <w:uiPriority w:val="99"/>
    <w:semiHidden/>
    <w:rsid w:val="00DB7778"/>
    <w:rPr>
      <w:rFonts w:ascii="Tahoma" w:hAnsi="Tahoma" w:cs="Tahoma"/>
      <w:sz w:val="16"/>
      <w:szCs w:val="16"/>
    </w:rPr>
  </w:style>
  <w:style w:type="paragraph" w:styleId="Revision">
    <w:name w:val="Revision"/>
    <w:hidden/>
    <w:uiPriority w:val="99"/>
    <w:semiHidden/>
    <w:rsid w:val="00A17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9d2f49e0c3dc91277a1a95c164db0d89">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82e553fd53fc1128d866c579280bed1e"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fc73922b-ee12-4d47-9fe9-79c993e89b0c">
      <UserInfo>
        <DisplayName>Lizzie Tovey</DisplayName>
        <AccountId>34</AccountId>
        <AccountType/>
      </UserInfo>
    </Owner>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2018</TermName>
          <TermId xmlns="http://schemas.microsoft.com/office/infopath/2007/PartnerControls">26ca1e8c-16e7-413b-b05d-61c89da0dc68</TermId>
        </TermInfo>
      </Terms>
    </o4f6c70134b64a99b8a9c18b6cabc6d3>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Local government elections</TermName>
          <TermId xmlns="http://schemas.microsoft.com/office/infopath/2007/PartnerControls">5a21ae26-924a-4744-a4dc-0e03c1213209</TermId>
        </TermInfo>
        <TermInfo xmlns="http://schemas.microsoft.com/office/infopath/2007/PartnerControls">
          <TermName xmlns="http://schemas.microsoft.com/office/infopath/2007/PartnerControls">UK parliamentary elections</TermName>
          <TermId xmlns="http://schemas.microsoft.com/office/infopath/2007/PartnerControls">5470a683-dc10-4d62-a95f-e88158225a57</TermId>
        </TermInfo>
        <TermInfo xmlns="http://schemas.microsoft.com/office/infopath/2007/PartnerControls">
          <TermName xmlns="http://schemas.microsoft.com/office/infopath/2007/PartnerControls">Scottish Parliament elections</TermName>
          <TermId xmlns="http://schemas.microsoft.com/office/infopath/2007/PartnerControls">fe63202d-0ec2-4be0-b403-60ef685e1df2</TermId>
        </TermInfo>
        <TermInfo xmlns="http://schemas.microsoft.com/office/infopath/2007/PartnerControls">
          <TermName xmlns="http://schemas.microsoft.com/office/infopath/2007/PartnerControls">PCC elections</TermName>
          <TermId xmlns="http://schemas.microsoft.com/office/infopath/2007/PartnerControls">7c5b499c-7450-4343-b275-2f8e7ac9cb9a</TermId>
        </TermInfo>
        <TermInfo xmlns="http://schemas.microsoft.com/office/infopath/2007/PartnerControls">
          <TermName xmlns="http://schemas.microsoft.com/office/infopath/2007/PartnerControls">Mayoral elections</TermName>
          <TermId xmlns="http://schemas.microsoft.com/office/infopath/2007/PartnerControls">95a94b50-d48d-496d-b68c-97d33db89414</TermId>
        </TermInfo>
      </Terms>
    </k8d136f7c151492e9a8c9a3ff7eb0306>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Retention xmlns="fc73922b-ee12-4d47-9fe9-79c993e89b0c">7 years</Retention>
    <ArticleName xmlns="fc73922b-ee12-4d47-9fe9-79c993e89b0c" xsi:nil="true"/>
    <TaxCatchAll xmlns="fc73922b-ee12-4d47-9fe9-79c993e89b0c">
      <Value>54</Value>
      <Value>181</Value>
      <Value>63</Value>
      <Value>136</Value>
      <Value>135</Value>
      <Value>133</Value>
      <Value>55</Value>
      <Value>91</Value>
      <Value>53</Value>
      <Value>52</Value>
      <Value>124</Value>
      <Value>122</Value>
      <Value>11</Value>
      <Value>3</Value>
      <Value>2</Value>
    </TaxCatchAll>
    <_dlc_DocId xmlns="fc73922b-ee12-4d47-9fe9-79c993e89b0c">TX6SW6SUV4E4-666515829-4720</_dlc_DocId>
    <_dlc_DocIdUrl xmlns="fc73922b-ee12-4d47-9fe9-79c993e89b0c">
      <Url>https://electoralcommissionorguk.sharepoint.com/teams/CT_EAG/_layouts/15/DocIdRedir.aspx?ID=TX6SW6SUV4E4-666515829-4720</Url>
      <Description>TX6SW6SUV4E4-666515829-4720</Description>
    </_dlc_DocIdUrl>
    <Language_x0020__x0028_EA_x0029_ xmlns="fc73922b-ee12-4d47-9fe9-79c993e89b0c">English</Language_x0020__x0028_EA_x0029_>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Generic Guidance</TermName>
          <TermId xmlns="http://schemas.microsoft.com/office/infopath/2007/PartnerControls">6e6c7a2d-5a21-4c77-aff2-a35e1531f6a6</TermId>
        </TermInfo>
      </Terms>
    </p66823bc255a48c5b1111b08c7c3cd3f>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35497391-78cd-4432-a919-8eedf1a8689e</TermId>
        </TermInfo>
      </Terms>
    </je831b0ab68147b593f643c3e92cd3da>
    <j4f12893337a4eac9e2d2c696f543b80 xmlns="fc73922b-ee12-4d47-9fe9-79c993e89b0c">
      <Terms xmlns="http://schemas.microsoft.com/office/infopath/2007/PartnerControls"/>
    </j4f12893337a4eac9e2d2c696f543b80>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Candidate and Agent</TermName>
          <TermId xmlns="http://schemas.microsoft.com/office/infopath/2007/PartnerControls">2bdd1eb5-a55b-47e2-afb2-f95df0e30b90</TermId>
        </TermInfo>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Original_x0020_Creator xmlns="493acf16-e4f6-4c9b-a835-13355f79d791">Lizzie Tovey</Original_x0020_Creator>
    <_dlc_DocIdPersistId xmlns="fc73922b-ee12-4d47-9fe9-79c993e89b0c" xsi:nil="true"/>
    <Original_x0020_Modified_x0020_By xmlns="493acf16-e4f6-4c9b-a835-13355f79d791">Lizzie Tovey</Original_x0020_Modified_x0020_By>
    <lcf76f155ced4ddcb4097134ff3c332f xmlns="493acf16-e4f6-4c9b-a835-13355f79d791">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D25B101-3A15-485A-BEFC-7940C1998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272C6-303B-4AC8-A21C-EA57D2C9CC23}">
  <ds:schemaRefs>
    <ds:schemaRef ds:uri="http://schemas.microsoft.com/sharepoint/v3/contenttype/forms"/>
  </ds:schemaRefs>
</ds:datastoreItem>
</file>

<file path=customXml/itemProps3.xml><?xml version="1.0" encoding="utf-8"?>
<ds:datastoreItem xmlns:ds="http://schemas.openxmlformats.org/officeDocument/2006/customXml" ds:itemID="{75CAD435-7A9D-4A92-BDDE-C356DF291906}">
  <ds:schemaRefs>
    <ds:schemaRef ds:uri="http://www.w3.org/XML/1998/namespace"/>
    <ds:schemaRef ds:uri="http://purl.org/dc/elements/1.1/"/>
    <ds:schemaRef ds:uri="493acf16-e4f6-4c9b-a835-13355f79d791"/>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fc73922b-ee12-4d47-9fe9-79c993e89b0c"/>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32D4177-F097-4061-A6D2-7E368BF568F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370</Words>
  <Characters>1903</Characters>
  <Application>Microsoft Office Word</Application>
  <DocSecurity>0</DocSecurity>
  <Lines>46</Lines>
  <Paragraphs>23</Paragraphs>
  <ScaleCrop>false</ScaleCrop>
  <HeadingPairs>
    <vt:vector size="2" baseType="variant">
      <vt:variant>
        <vt:lpstr>Title</vt:lpstr>
      </vt:variant>
      <vt:variant>
        <vt:i4>1</vt:i4>
      </vt:variant>
    </vt:vector>
  </HeadingPairs>
  <TitlesOfParts>
    <vt:vector size="1" baseType="lpstr">
      <vt:lpstr>Tellers dos and donts generic</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Tellers dos and donts generic</dc:title>
  <dc:creator>Lizzie Tovey</dc:creator>
  <cp:lastModifiedBy>Sarah Hopson</cp:lastModifiedBy>
  <cp:revision>2</cp:revision>
  <dcterms:created xsi:type="dcterms:W3CDTF">2025-11-17T13:16:00Z</dcterms:created>
  <dcterms:modified xsi:type="dcterms:W3CDTF">2025-11-17T13:16:00Z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122;#UK Wide|35497391-78cd-4432-a919-8eedf1a8689e</vt:lpwstr>
  </property>
  <property fmtid="{D5CDD505-2E9C-101B-9397-08002B2CF9AE}" pid="4" name="Audience (EA)">
    <vt:lpwstr>135;#Candidate and Agent|2bdd1eb5-a55b-47e2-afb2-f95df0e30b90;#136;#RO|9ab7a96e-a7bd-4c42-99d8-e2b2fe25086a</vt:lpwstr>
  </property>
  <property fmtid="{D5CDD505-2E9C-101B-9397-08002B2CF9AE}" pid="5" name="Audience1">
    <vt:lpwstr>52;#All staff|1a1e0e6e-8d96-4235-ac5f-9f1dcc3600b0</vt:lpwstr>
  </property>
  <property fmtid="{D5CDD505-2E9C-101B-9397-08002B2CF9AE}" pid="6" name="Calendar Year">
    <vt:lpwstr>54;#2018|26ca1e8c-16e7-413b-b05d-61c89da0dc68</vt:lpwstr>
  </property>
  <property fmtid="{D5CDD505-2E9C-101B-9397-08002B2CF9AE}" pid="7" name="Calendar_x0020_Year">
    <vt:lpwstr>54;#2018|26ca1e8c-16e7-413b-b05d-61c89da0dc68</vt:lpwstr>
  </property>
  <property fmtid="{D5CDD505-2E9C-101B-9397-08002B2CF9AE}" pid="8" name="Category">
    <vt:lpwstr>1235;#WS3 - Guidance and supporting resources for ROs and RROs|747e440b-bb9b-476e-8f3d-da864a086195</vt:lpwstr>
  </property>
  <property fmtid="{D5CDD505-2E9C-101B-9397-08002B2CF9AE}" pid="9" name="ContentTypeId">
    <vt:lpwstr>0x010100AF3E272AA106CD4B8F8855EAE1DE43E30B01001BC1E6EA59883345AF1174D756CA94C5</vt:lpwstr>
  </property>
  <property fmtid="{D5CDD505-2E9C-101B-9397-08002B2CF9AE}" pid="10" name="ContractRef">
    <vt:lpwstr/>
  </property>
  <property fmtid="{D5CDD505-2E9C-101B-9397-08002B2CF9AE}" pid="11" name="Countries">
    <vt:lpwstr>53;#UK wide|6834a7d2-fb91-47b3-99a3-3181df52306f</vt:lpwstr>
  </property>
  <property fmtid="{D5CDD505-2E9C-101B-9397-08002B2CF9AE}" pid="12" name="d7e05c9ad6914a3c91fc7c6d52d321c1">
    <vt:lpwstr/>
  </property>
  <property fmtid="{D5CDD505-2E9C-101B-9397-08002B2CF9AE}" pid="13" name="DocumentOwner">
    <vt:lpwstr/>
  </property>
  <property fmtid="{D5CDD505-2E9C-101B-9397-08002B2CF9AE}" pid="14" name="ECSubject">
    <vt:lpwstr>2;#Local government elections|5a21ae26-924a-4744-a4dc-0e03c1213209;#63;#UK parliamentary elections|5470a683-dc10-4d62-a95f-e88158225a57;#11;#Scottish Parliament elections|fe63202d-0ec2-4be0-b403-60ef685e1df2;#3;#PCC elections|7c5b499c-7450-4343-b275-2f8e7ac9cb9a;#91;#Mayoral elections|95a94b50-d48d-496d-b68c-97d33db89414</vt:lpwstr>
  </property>
  <property fmtid="{D5CDD505-2E9C-101B-9397-08002B2CF9AE}" pid="15" name="Event (EA)">
    <vt:lpwstr>124;#Generic Guidance|6e6c7a2d-5a21-4c77-aff2-a35e1531f6a6</vt:lpwstr>
  </property>
  <property fmtid="{D5CDD505-2E9C-101B-9397-08002B2CF9AE}" pid="16" name="Financial year">
    <vt:lpwstr/>
  </property>
  <property fmtid="{D5CDD505-2E9C-101B-9397-08002B2CF9AE}" pid="17" name="Financial_x0020_year">
    <vt:lpwstr/>
  </property>
  <property fmtid="{D5CDD505-2E9C-101B-9397-08002B2CF9AE}" pid="18" name="GPMS marking">
    <vt:lpwstr>55;#Official|77462fb2-11a1-4cd5-8628-4e6081b9477e</vt:lpwstr>
  </property>
  <property fmtid="{D5CDD505-2E9C-101B-9397-08002B2CF9AE}" pid="19" name="GPMS_x0020_marking">
    <vt:lpwstr>55;#Official|77462fb2-11a1-4cd5-8628-4e6081b9477e</vt:lpwstr>
  </property>
  <property fmtid="{D5CDD505-2E9C-101B-9397-08002B2CF9AE}" pid="20" name="Guidance type (EA)">
    <vt:lpwstr>133;#Supporting Resource|046fdab6-b44b-4f3d-aa13-e1a7611ba2d0</vt:lpwstr>
  </property>
  <property fmtid="{D5CDD505-2E9C-101B-9397-08002B2CF9AE}" pid="21" name="i1810b1101b44b14bbc21f09779139fa">
    <vt:lpwstr/>
  </property>
  <property fmtid="{D5CDD505-2E9C-101B-9397-08002B2CF9AE}" pid="22" name="InvoiceNo">
    <vt:lpwstr/>
  </property>
  <property fmtid="{D5CDD505-2E9C-101B-9397-08002B2CF9AE}" pid="23" name="LINKTEK-CHUNK-1">
    <vt:lpwstr>010021{"F":2,"I":"DD7E-7E25-CD85-EE31"}</vt:lpwstr>
  </property>
  <property fmtid="{D5CDD505-2E9C-101B-9397-08002B2CF9AE}" pid="24" name="Month">
    <vt:lpwstr/>
  </property>
  <property fmtid="{D5CDD505-2E9C-101B-9397-08002B2CF9AE}" pid="25" name="PeriodOfReview">
    <vt:lpwstr/>
  </property>
  <property fmtid="{D5CDD505-2E9C-101B-9397-08002B2CF9AE}" pid="26" name="pf1c3e1bd69e4157938b459bbd5820b8">
    <vt:lpwstr>May 2018|0cb9038b-bd8f-47eb-8efe-0d708cc8d006</vt:lpwstr>
  </property>
  <property fmtid="{D5CDD505-2E9C-101B-9397-08002B2CF9AE}" pid="27" name="PONo">
    <vt:lpwstr/>
  </property>
  <property fmtid="{D5CDD505-2E9C-101B-9397-08002B2CF9AE}" pid="28" name="PPM Name">
    <vt:lpwstr>181;#May 2018|0cb9038b-bd8f-47eb-8efe-0d708cc8d006</vt:lpwstr>
  </property>
  <property fmtid="{D5CDD505-2E9C-101B-9397-08002B2CF9AE}" pid="29" name="PPM Stage">
    <vt:lpwstr/>
  </property>
  <property fmtid="{D5CDD505-2E9C-101B-9397-08002B2CF9AE}" pid="30" name="PPM_x0020_Name">
    <vt:lpwstr>181;#May 2018|0cb9038b-bd8f-47eb-8efe-0d708cc8d006</vt:lpwstr>
  </property>
  <property fmtid="{D5CDD505-2E9C-101B-9397-08002B2CF9AE}" pid="31" name="ProtectiveMarking">
    <vt:lpwstr>Not protectively marked</vt:lpwstr>
  </property>
  <property fmtid="{D5CDD505-2E9C-101B-9397-08002B2CF9AE}" pid="32" name="Supplier">
    <vt:lpwstr/>
  </property>
  <property fmtid="{D5CDD505-2E9C-101B-9397-08002B2CF9AE}" pid="33" name="TaxKeyword">
    <vt:lpwstr/>
  </property>
  <property fmtid="{D5CDD505-2E9C-101B-9397-08002B2CF9AE}" pid="34" name="TaxKeywordTaxHTField">
    <vt:lpwstr/>
  </property>
  <property fmtid="{D5CDD505-2E9C-101B-9397-08002B2CF9AE}" pid="35" name="Work stream">
    <vt:lpwstr>789;#WS3 - Returning officer delivery|4f69987c-b2ff-4198-93e6-f041bb695c6e</vt:lpwstr>
  </property>
  <property fmtid="{D5CDD505-2E9C-101B-9397-08002B2CF9AE}" pid="36" name="Work_x0020_stream">
    <vt:lpwstr>789;#WS3 - Returning officer delivery|4f69987c-b2ff-4198-93e6-f041bb695c6e</vt:lpwstr>
  </property>
  <property fmtid="{D5CDD505-2E9C-101B-9397-08002B2CF9AE}" pid="37" name="_dlc_DocIdItemGuid">
    <vt:lpwstr>34d0dee1-36a6-49ee-ad60-1fc322249ea1</vt:lpwstr>
  </property>
  <property fmtid="{D5CDD505-2E9C-101B-9397-08002B2CF9AE}" pid="38" name="MediaServiceImageTags">
    <vt:lpwstr/>
  </property>
  <property fmtid="{D5CDD505-2E9C-101B-9397-08002B2CF9AE}" pid="39" name="Event_x0020__x0028_EA_x0029_">
    <vt:lpwstr>124;#Generic Guidance|6e6c7a2d-5a21-4c77-aff2-a35e1531f6a6</vt:lpwstr>
  </property>
  <property fmtid="{D5CDD505-2E9C-101B-9397-08002B2CF9AE}" pid="40" name="Guidance_x0020_type_x0020__x0028_EA_x0029_">
    <vt:lpwstr>133;#Supporting Resource|046fdab6-b44b-4f3d-aa13-e1a7611ba2d0</vt:lpwstr>
  </property>
  <property fmtid="{D5CDD505-2E9C-101B-9397-08002B2CF9AE}" pid="41" name="Audience_x0020__x0028_EA_x0029_">
    <vt:lpwstr>135;#Candidate and Agent|2bdd1eb5-a55b-47e2-afb2-f95df0e30b90;#136;#RO|9ab7a96e-a7bd-4c42-99d8-e2b2fe25086a</vt:lpwstr>
  </property>
  <property fmtid="{D5CDD505-2E9C-101B-9397-08002B2CF9AE}" pid="42" name="Area_x0020__x0028_EA_x0029_">
    <vt:lpwstr>122;#UK Wide|35497391-78cd-4432-a919-8eedf1a8689e</vt:lpwstr>
  </property>
</Properties>
</file>